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57EA" w14:textId="77777777" w:rsidR="00B25F2B" w:rsidRDefault="00B25F2B" w:rsidP="004B6218">
      <w:pPr>
        <w:pStyle w:val="Ttulo1"/>
        <w:tabs>
          <w:tab w:val="left" w:pos="0"/>
          <w:tab w:val="left" w:pos="170"/>
        </w:tabs>
        <w:spacing w:line="360" w:lineRule="auto"/>
        <w:ind w:right="27"/>
        <w:rPr>
          <w:rFonts w:ascii="Arial" w:eastAsia="Lucida Sans Unicode" w:hAnsi="Arial" w:cs="Arial"/>
          <w:sz w:val="24"/>
          <w:szCs w:val="24"/>
          <w:u w:val="single"/>
          <w:lang w:eastAsia="en-US" w:bidi="en-US"/>
        </w:rPr>
      </w:pPr>
      <w:bookmarkStart w:id="0" w:name="_GoBack"/>
      <w:bookmarkEnd w:id="0"/>
    </w:p>
    <w:p w14:paraId="4F45D7F9" w14:textId="7C07BEA8" w:rsidR="00B25F2B" w:rsidRPr="002D0ABD" w:rsidRDefault="00B25F2B" w:rsidP="00B25F2B">
      <w:pPr>
        <w:pStyle w:val="western"/>
        <w:spacing w:before="0" w:after="0" w:line="360" w:lineRule="auto"/>
        <w:jc w:val="center"/>
        <w:rPr>
          <w:rFonts w:ascii="Arial" w:hAnsi="Arial" w:cs="Arial"/>
          <w:b/>
          <w:bCs/>
          <w:u w:val="single"/>
        </w:rPr>
      </w:pPr>
      <w:r w:rsidRPr="6D647178">
        <w:rPr>
          <w:rFonts w:ascii="Arial" w:hAnsi="Arial" w:cs="Arial"/>
          <w:b/>
          <w:bCs/>
          <w:u w:val="single"/>
        </w:rPr>
        <w:t xml:space="preserve">PROCEDIMENTO Nº </w:t>
      </w:r>
      <w:r w:rsidR="60F55081" w:rsidRPr="6D647178">
        <w:rPr>
          <w:rFonts w:ascii="Arial" w:hAnsi="Arial" w:cs="Arial"/>
          <w:b/>
          <w:bCs/>
          <w:color w:val="FF0000"/>
          <w:u w:val="single"/>
        </w:rPr>
        <w:t>xxxxx</w:t>
      </w:r>
      <w:r w:rsidRPr="6D647178">
        <w:rPr>
          <w:rFonts w:ascii="Arial" w:hAnsi="Arial" w:cs="Arial"/>
          <w:b/>
          <w:bCs/>
          <w:u w:val="single"/>
        </w:rPr>
        <w:t>/2020</w:t>
      </w:r>
    </w:p>
    <w:p w14:paraId="457B4FF0" w14:textId="77777777" w:rsidR="00B25F2B" w:rsidRDefault="00B25F2B" w:rsidP="00B25F2B">
      <w:pPr>
        <w:pStyle w:val="Ttulo1"/>
        <w:tabs>
          <w:tab w:val="left" w:pos="0"/>
          <w:tab w:val="left" w:pos="170"/>
        </w:tabs>
        <w:spacing w:line="360" w:lineRule="auto"/>
        <w:ind w:right="27"/>
        <w:jc w:val="center"/>
        <w:rPr>
          <w:rFonts w:ascii="Arial" w:eastAsia="Lucida Sans Unicode" w:hAnsi="Arial" w:cs="Arial"/>
          <w:sz w:val="24"/>
          <w:szCs w:val="24"/>
          <w:u w:val="single"/>
          <w:lang w:eastAsia="en-US" w:bidi="en-US"/>
        </w:rPr>
      </w:pPr>
    </w:p>
    <w:p w14:paraId="26B673EB" w14:textId="77777777" w:rsidR="00B25F2B" w:rsidRPr="00B25F2B" w:rsidRDefault="00B25F2B" w:rsidP="00B25F2B">
      <w:pPr>
        <w:pStyle w:val="Standard"/>
        <w:rPr>
          <w:rFonts w:eastAsia="Lucida Sans Unicode"/>
          <w:b/>
          <w:bCs/>
          <w:lang w:eastAsia="en-US" w:bidi="en-US"/>
        </w:rPr>
      </w:pPr>
    </w:p>
    <w:p w14:paraId="4089CE05" w14:textId="7B561C42" w:rsidR="00B25F2B" w:rsidRPr="00B25F2B" w:rsidRDefault="00B25F2B" w:rsidP="6D647178">
      <w:pPr>
        <w:pStyle w:val="Ttulo1"/>
        <w:tabs>
          <w:tab w:val="left" w:pos="0"/>
          <w:tab w:val="left" w:pos="170"/>
        </w:tabs>
        <w:spacing w:line="360" w:lineRule="auto"/>
        <w:ind w:right="27"/>
        <w:jc w:val="center"/>
        <w:rPr>
          <w:rFonts w:ascii="Arial" w:eastAsia="Lucida Sans Unicode" w:hAnsi="Arial" w:cs="Arial"/>
          <w:b/>
          <w:bCs/>
          <w:i w:val="0"/>
          <w:iCs w:val="0"/>
          <w:sz w:val="24"/>
          <w:szCs w:val="24"/>
          <w:u w:val="single"/>
          <w:lang w:eastAsia="en-US" w:bidi="en-US"/>
        </w:rPr>
      </w:pPr>
      <w:r w:rsidRPr="6D647178">
        <w:rPr>
          <w:rFonts w:ascii="Arial" w:eastAsia="Lucida Sans Unicode" w:hAnsi="Arial" w:cs="Arial"/>
          <w:b/>
          <w:bCs/>
          <w:i w:val="0"/>
          <w:iCs w:val="0"/>
          <w:sz w:val="24"/>
          <w:szCs w:val="24"/>
          <w:u w:val="single"/>
          <w:lang w:eastAsia="en-US" w:bidi="en-US"/>
        </w:rPr>
        <w:t xml:space="preserve">RECOMENDAÇÃO nº </w:t>
      </w:r>
      <w:r w:rsidR="7F823362" w:rsidRPr="6D647178">
        <w:rPr>
          <w:rFonts w:ascii="Arial" w:eastAsia="Lucida Sans Unicode" w:hAnsi="Arial" w:cs="Arial"/>
          <w:b/>
          <w:bCs/>
          <w:i w:val="0"/>
          <w:iCs w:val="0"/>
          <w:color w:val="FF0000"/>
          <w:sz w:val="24"/>
          <w:szCs w:val="24"/>
          <w:u w:val="single"/>
          <w:lang w:eastAsia="en-US" w:bidi="en-US"/>
        </w:rPr>
        <w:t>xx</w:t>
      </w:r>
      <w:r w:rsidRPr="6D647178">
        <w:rPr>
          <w:rFonts w:ascii="Arial" w:eastAsia="Lucida Sans Unicode" w:hAnsi="Arial" w:cs="Arial"/>
          <w:b/>
          <w:bCs/>
          <w:i w:val="0"/>
          <w:iCs w:val="0"/>
          <w:sz w:val="24"/>
          <w:szCs w:val="24"/>
          <w:u w:val="single"/>
          <w:lang w:eastAsia="en-US" w:bidi="en-US"/>
        </w:rPr>
        <w:t>/2020</w:t>
      </w:r>
    </w:p>
    <w:p w14:paraId="01B172E2" w14:textId="77777777" w:rsidR="00B25F2B" w:rsidRDefault="00B25F2B" w:rsidP="00B25F2B">
      <w:pPr>
        <w:pStyle w:val="Textbody"/>
        <w:tabs>
          <w:tab w:val="left" w:pos="0"/>
          <w:tab w:val="left" w:pos="170"/>
        </w:tabs>
        <w:spacing w:line="360" w:lineRule="auto"/>
        <w:ind w:right="27"/>
        <w:jc w:val="center"/>
        <w:rPr>
          <w:rFonts w:ascii="Arial" w:eastAsia="Lucida Sans Unicode" w:hAnsi="Arial" w:cs="Arial"/>
          <w:sz w:val="24"/>
          <w:szCs w:val="24"/>
          <w:lang w:eastAsia="en-US" w:bidi="en-US"/>
        </w:rPr>
      </w:pPr>
    </w:p>
    <w:p w14:paraId="0F90EC25" w14:textId="77777777" w:rsidR="00B25F2B" w:rsidRPr="004721B8" w:rsidRDefault="00B25F2B" w:rsidP="00B25F2B">
      <w:pPr>
        <w:pStyle w:val="Textbody"/>
        <w:tabs>
          <w:tab w:val="left" w:pos="0"/>
          <w:tab w:val="left" w:pos="170"/>
        </w:tabs>
        <w:spacing w:line="360" w:lineRule="auto"/>
        <w:ind w:right="27"/>
        <w:jc w:val="center"/>
        <w:rPr>
          <w:rFonts w:ascii="Arial" w:eastAsia="Lucida Sans Unicode" w:hAnsi="Arial" w:cs="Arial"/>
          <w:sz w:val="24"/>
          <w:szCs w:val="24"/>
          <w:lang w:eastAsia="en-US" w:bidi="en-US"/>
        </w:rPr>
      </w:pPr>
    </w:p>
    <w:p w14:paraId="45C00915" w14:textId="6E40A906" w:rsidR="00B25F2B" w:rsidRPr="004721B8" w:rsidRDefault="00B25F2B" w:rsidP="00B25F2B">
      <w:pPr>
        <w:spacing w:line="360" w:lineRule="auto"/>
        <w:jc w:val="both"/>
        <w:rPr>
          <w:rFonts w:ascii="Arial" w:eastAsia="Arial" w:hAnsi="Arial" w:cs="Arial"/>
        </w:rPr>
      </w:pPr>
      <w:r w:rsidRPr="004721B8">
        <w:rPr>
          <w:rFonts w:ascii="Arial" w:eastAsia="Lucida Sans Unicode" w:hAnsi="Arial" w:cs="Arial"/>
          <w:lang w:bidi="en-US"/>
        </w:rPr>
        <w:tab/>
      </w:r>
      <w:r w:rsidRPr="004721B8">
        <w:rPr>
          <w:rFonts w:ascii="Arial" w:eastAsia="Lucida Sans Unicode" w:hAnsi="Arial" w:cs="Arial"/>
          <w:lang w:bidi="en-US"/>
        </w:rPr>
        <w:tab/>
      </w:r>
      <w:r w:rsidRPr="004721B8">
        <w:rPr>
          <w:rFonts w:ascii="Arial" w:eastAsia="Lucida Sans Unicode" w:hAnsi="Arial" w:cs="Arial"/>
          <w:b/>
          <w:bCs/>
          <w:lang w:bidi="en-US"/>
        </w:rPr>
        <w:t>O MINISTÉRIO PÚBLICO DO ESTADO DA BAHIA</w:t>
      </w:r>
      <w:r w:rsidRPr="004721B8">
        <w:rPr>
          <w:rFonts w:ascii="Arial" w:eastAsia="Lucida Sans Unicode" w:hAnsi="Arial" w:cs="Arial"/>
          <w:lang w:bidi="en-US"/>
        </w:rPr>
        <w:t xml:space="preserve">, </w:t>
      </w:r>
      <w:r w:rsidR="004B6218" w:rsidRPr="002D0ABD">
        <w:rPr>
          <w:rFonts w:ascii="Arial" w:hAnsi="Arial" w:cs="Arial"/>
        </w:rPr>
        <w:t xml:space="preserve">por </w:t>
      </w:r>
      <w:r w:rsidR="004B6218" w:rsidRPr="00AF02B7">
        <w:rPr>
          <w:rFonts w:ascii="Arial" w:hAnsi="Arial" w:cs="Arial"/>
        </w:rPr>
        <w:t>intermédio d</w:t>
      </w:r>
      <w:r w:rsidR="44117F95" w:rsidRPr="00AF02B7">
        <w:rPr>
          <w:rFonts w:ascii="Arial" w:hAnsi="Arial" w:cs="Arial"/>
        </w:rPr>
        <w:t>o</w:t>
      </w:r>
      <w:r w:rsidR="0229157A" w:rsidRPr="00AF02B7">
        <w:rPr>
          <w:rFonts w:ascii="Arial" w:hAnsi="Arial" w:cs="Arial"/>
        </w:rPr>
        <w:t>(a)</w:t>
      </w:r>
      <w:r w:rsidR="004B6218" w:rsidRPr="00DA6C70">
        <w:rPr>
          <w:rFonts w:ascii="Arial" w:hAnsi="Arial" w:cs="Arial"/>
          <w:color w:val="FF0000"/>
        </w:rPr>
        <w:t xml:space="preserve"> Promotor</w:t>
      </w:r>
      <w:r w:rsidR="67A42D11" w:rsidRPr="00DA6C70">
        <w:rPr>
          <w:rFonts w:ascii="Arial" w:hAnsi="Arial" w:cs="Arial"/>
          <w:color w:val="FF0000"/>
        </w:rPr>
        <w:t>(a)</w:t>
      </w:r>
      <w:r w:rsidR="004B6218" w:rsidRPr="00DA6C70">
        <w:rPr>
          <w:rFonts w:ascii="Arial" w:hAnsi="Arial" w:cs="Arial"/>
          <w:color w:val="FF0000"/>
        </w:rPr>
        <w:t xml:space="preserve"> de Justiça </w:t>
      </w:r>
      <w:r w:rsidR="0505EC22" w:rsidRPr="00DA6C70">
        <w:rPr>
          <w:rFonts w:ascii="Arial" w:hAnsi="Arial" w:cs="Arial"/>
          <w:color w:val="FF0000"/>
        </w:rPr>
        <w:t>signatário</w:t>
      </w:r>
      <w:r w:rsidR="0094EFF9" w:rsidRPr="00DA6C70">
        <w:rPr>
          <w:rFonts w:ascii="Arial" w:hAnsi="Arial" w:cs="Arial"/>
          <w:color w:val="FF0000"/>
        </w:rPr>
        <w:t>(a)</w:t>
      </w:r>
      <w:r w:rsidR="0505EC22" w:rsidRPr="6D647178">
        <w:rPr>
          <w:rFonts w:ascii="Arial" w:hAnsi="Arial" w:cs="Arial"/>
        </w:rPr>
        <w:t>,</w:t>
      </w:r>
      <w:r w:rsidR="004B6218">
        <w:rPr>
          <w:rFonts w:ascii="Arial" w:eastAsia="Arial" w:hAnsi="Arial" w:cs="Arial"/>
        </w:rPr>
        <w:t xml:space="preserve"> </w:t>
      </w:r>
      <w:r w:rsidRPr="004721B8">
        <w:rPr>
          <w:rFonts w:ascii="Arial" w:eastAsia="Arial" w:hAnsi="Arial" w:cs="Arial"/>
        </w:rPr>
        <w:t xml:space="preserve">com </w:t>
      </w:r>
      <w:r w:rsidR="001565A8">
        <w:rPr>
          <w:rFonts w:ascii="Arial" w:eastAsia="Arial" w:hAnsi="Arial" w:cs="Arial"/>
        </w:rPr>
        <w:t xml:space="preserve">fundamento jurídico </w:t>
      </w:r>
      <w:r w:rsidRPr="004721B8">
        <w:rPr>
          <w:rFonts w:ascii="Arial" w:eastAsia="Arial" w:hAnsi="Arial" w:cs="Arial"/>
        </w:rPr>
        <w:t>nos artigos 127 e 129, II, III, VI e IX, da Constituição Federal</w:t>
      </w:r>
      <w:r>
        <w:rPr>
          <w:rFonts w:ascii="Arial" w:eastAsia="Arial" w:hAnsi="Arial" w:cs="Arial"/>
        </w:rPr>
        <w:t>, art. 27, parágrafo único, IV, art. 3º da Resolução nº 164/2017, do Conselho Nacional do Ministério Público</w:t>
      </w:r>
      <w:r w:rsidRPr="004721B8">
        <w:rPr>
          <w:rFonts w:ascii="Arial" w:eastAsia="Arial" w:hAnsi="Arial" w:cs="Arial"/>
        </w:rPr>
        <w:t>;</w:t>
      </w:r>
    </w:p>
    <w:p w14:paraId="7329399A" w14:textId="77777777" w:rsidR="00B25F2B" w:rsidRPr="004721B8" w:rsidRDefault="00B25F2B" w:rsidP="00B25F2B">
      <w:pPr>
        <w:pStyle w:val="Standard"/>
        <w:spacing w:line="360" w:lineRule="auto"/>
        <w:ind w:right="27"/>
        <w:jc w:val="center"/>
        <w:rPr>
          <w:rFonts w:ascii="Arial" w:eastAsia="Arial" w:hAnsi="Arial" w:cs="Arial"/>
          <w:i/>
          <w:iCs/>
          <w:lang w:eastAsia="en-US" w:bidi="en-US"/>
        </w:rPr>
      </w:pPr>
    </w:p>
    <w:p w14:paraId="0F93B405" w14:textId="77777777" w:rsidR="001565A8" w:rsidRPr="00B324D4" w:rsidRDefault="001565A8" w:rsidP="001565A8">
      <w:pPr>
        <w:pStyle w:val="Standard"/>
        <w:spacing w:before="120" w:line="360" w:lineRule="auto"/>
        <w:ind w:right="27" w:firstLine="709"/>
        <w:jc w:val="both"/>
        <w:rPr>
          <w:rFonts w:ascii="Arial" w:eastAsia="Arial" w:hAnsi="Arial" w:cs="Arial"/>
        </w:rPr>
      </w:pPr>
      <w:r w:rsidRPr="00B324D4">
        <w:rPr>
          <w:rFonts w:ascii="Arial" w:eastAsia="Arial" w:hAnsi="Arial" w:cs="Arial"/>
          <w:b/>
          <w:bCs/>
          <w:u w:val="single"/>
          <w:lang w:eastAsia="en-US" w:bidi="en-US"/>
        </w:rPr>
        <w:t>Considerando</w:t>
      </w:r>
      <w:r w:rsidRPr="00B324D4">
        <w:rPr>
          <w:rFonts w:ascii="Arial" w:eastAsia="Arial" w:hAnsi="Arial" w:cs="Arial"/>
        </w:rPr>
        <w:t xml:space="preserve"> que incumbe ao Ministério Público a defesa do patrimônio público e social, da moralidade e da eficiência administrativa, nos termos dos artigos 127, caput, e 129, inciso III, da Constituição Federal – CF/1988, artigo 25, inciso IV, alínea “a” e “b”, da Lei n.º 8.625/93, e artigo 72 da Lei Complementar Estadual nº </w:t>
      </w:r>
      <w:r w:rsidRPr="00B324D4">
        <w:rPr>
          <w:rFonts w:ascii="Arial" w:eastAsia="Arial" w:hAnsi="Arial" w:cs="Arial"/>
          <w:lang w:eastAsia="en-US" w:bidi="en-US"/>
        </w:rPr>
        <w:t>11/96 – Lei Orgânica do MPBA;</w:t>
      </w:r>
    </w:p>
    <w:p w14:paraId="306DED06"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042AC46B" w14:textId="77777777" w:rsidR="001565A8" w:rsidRPr="00B324D4" w:rsidRDefault="001565A8" w:rsidP="001565A8">
      <w:pPr>
        <w:pStyle w:val="Standard"/>
        <w:spacing w:before="120" w:line="360" w:lineRule="auto"/>
        <w:ind w:right="27" w:firstLine="709"/>
        <w:jc w:val="both"/>
        <w:rPr>
          <w:rFonts w:ascii="Arial" w:eastAsia="Arial" w:hAnsi="Arial" w:cs="Arial"/>
        </w:rPr>
      </w:pPr>
      <w:r w:rsidRPr="00B324D4">
        <w:rPr>
          <w:rFonts w:ascii="Arial" w:eastAsia="Arial" w:hAnsi="Arial" w:cs="Arial"/>
          <w:b/>
          <w:bCs/>
          <w:u w:val="single"/>
          <w:lang w:eastAsia="en-US" w:bidi="en-US"/>
        </w:rPr>
        <w:t>Considerando</w:t>
      </w:r>
      <w:r w:rsidRPr="00B324D4">
        <w:rPr>
          <w:rFonts w:ascii="Arial" w:eastAsia="Arial" w:hAnsi="Arial" w:cs="Arial"/>
        </w:rPr>
        <w:t xml:space="preserve"> que a defesa dos interesses sociais e individuais indisponíveis é função institucional do Ministério Público, bem como a promoção de inquérito civil e </w:t>
      </w:r>
      <w:r>
        <w:rPr>
          <w:rFonts w:ascii="Arial" w:eastAsia="Arial" w:hAnsi="Arial" w:cs="Arial"/>
        </w:rPr>
        <w:t>d</w:t>
      </w:r>
      <w:r w:rsidRPr="00B324D4">
        <w:rPr>
          <w:rFonts w:ascii="Arial" w:eastAsia="Arial" w:hAnsi="Arial" w:cs="Arial"/>
        </w:rPr>
        <w:t>a ação civil pública para a proteção do patrimônio público e social, do meio ambiente e de outros interesses difusos e coletivos (art. 127, caput, e 129, inciso III, da CF/1988);</w:t>
      </w:r>
    </w:p>
    <w:p w14:paraId="77BDEA0D" w14:textId="77777777" w:rsidR="001565A8" w:rsidRDefault="001565A8" w:rsidP="001565A8">
      <w:pPr>
        <w:pStyle w:val="Standard"/>
        <w:spacing w:before="120" w:line="360" w:lineRule="auto"/>
        <w:ind w:right="27"/>
        <w:jc w:val="both"/>
        <w:rPr>
          <w:rFonts w:ascii="Arial" w:eastAsia="Arial" w:hAnsi="Arial" w:cs="Arial"/>
          <w:b/>
          <w:bCs/>
          <w:u w:val="single"/>
        </w:rPr>
      </w:pPr>
    </w:p>
    <w:p w14:paraId="4BC8E2DE" w14:textId="77777777" w:rsidR="001565A8" w:rsidRPr="00B324D4" w:rsidRDefault="001565A8" w:rsidP="001565A8">
      <w:pPr>
        <w:pStyle w:val="Standard"/>
        <w:spacing w:before="120" w:line="360" w:lineRule="auto"/>
        <w:ind w:right="27" w:firstLine="709"/>
        <w:jc w:val="both"/>
        <w:rPr>
          <w:rFonts w:ascii="Arial" w:eastAsia="Arial" w:hAnsi="Arial" w:cs="Arial"/>
        </w:rPr>
      </w:pPr>
      <w:r w:rsidRPr="00B324D4">
        <w:rPr>
          <w:rFonts w:ascii="Arial" w:eastAsia="Arial" w:hAnsi="Arial" w:cs="Arial"/>
          <w:b/>
          <w:bCs/>
          <w:u w:val="single"/>
        </w:rPr>
        <w:t>Considerando</w:t>
      </w:r>
      <w:r w:rsidRPr="00B324D4">
        <w:rPr>
          <w:rFonts w:ascii="Arial" w:eastAsia="Arial" w:hAnsi="Arial" w:cs="Arial"/>
        </w:rPr>
        <w:t xml:space="preserve"> que a saúde é direito fundamental social, cuja garantia é dever do Estado, como previsto nos arts. 6º e 196 da Constituição Federal de 1988;</w:t>
      </w:r>
    </w:p>
    <w:p w14:paraId="74B43916"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40FEE40C" w14:textId="77777777" w:rsidR="001565A8" w:rsidRPr="00B324D4" w:rsidRDefault="001565A8" w:rsidP="001565A8">
      <w:pPr>
        <w:pStyle w:val="Standard"/>
        <w:spacing w:before="120" w:line="360" w:lineRule="auto"/>
        <w:ind w:right="27" w:firstLine="709"/>
        <w:jc w:val="both"/>
        <w:rPr>
          <w:rFonts w:ascii="Arial" w:eastAsia="Arial" w:hAnsi="Arial" w:cs="Arial"/>
        </w:rPr>
      </w:pPr>
      <w:r w:rsidRPr="00B324D4">
        <w:rPr>
          <w:rFonts w:ascii="Arial" w:eastAsia="Arial" w:hAnsi="Arial" w:cs="Arial"/>
          <w:b/>
          <w:bCs/>
          <w:u w:val="single"/>
          <w:lang w:eastAsia="en-US" w:bidi="en-US"/>
        </w:rPr>
        <w:lastRenderedPageBreak/>
        <w:t>Considerando</w:t>
      </w:r>
      <w:r w:rsidRPr="00B324D4">
        <w:rPr>
          <w:rFonts w:ascii="Arial" w:eastAsia="Arial" w:hAnsi="Arial" w:cs="Arial"/>
        </w:rPr>
        <w:t xml:space="preserve"> que a Organização Mundial de Saúde – OMS, aos 30 de janeiro de 2020 declarou Emergência de Saúde Pública de Importância Internacional e, aos 11 de março de 2020, declarou a pandemia do Novo Coronavírus – Covid-19, e a Permanência da Emergência de Saúde Pública de Importância Internacional – ESPII; </w:t>
      </w:r>
    </w:p>
    <w:p w14:paraId="0D7F7F4C" w14:textId="77777777" w:rsidR="001565A8" w:rsidRDefault="001565A8" w:rsidP="001565A8">
      <w:pPr>
        <w:pStyle w:val="Standard"/>
        <w:spacing w:before="120" w:line="360" w:lineRule="auto"/>
        <w:ind w:right="27"/>
        <w:jc w:val="both"/>
        <w:rPr>
          <w:rFonts w:ascii="Arial" w:eastAsia="Arial" w:hAnsi="Arial" w:cs="Arial"/>
          <w:b/>
          <w:bCs/>
          <w:u w:val="single"/>
        </w:rPr>
      </w:pPr>
    </w:p>
    <w:p w14:paraId="6F433F67" w14:textId="77777777" w:rsidR="001565A8" w:rsidRPr="00B324D4" w:rsidRDefault="001565A8" w:rsidP="001565A8">
      <w:pPr>
        <w:pStyle w:val="Standard"/>
        <w:spacing w:before="120" w:line="360" w:lineRule="auto"/>
        <w:ind w:right="27" w:firstLine="709"/>
        <w:jc w:val="both"/>
        <w:rPr>
          <w:rFonts w:ascii="Arial" w:eastAsia="Arial" w:hAnsi="Arial" w:cs="Arial"/>
        </w:rPr>
      </w:pPr>
      <w:r w:rsidRPr="00B324D4">
        <w:rPr>
          <w:rFonts w:ascii="Arial" w:eastAsia="Arial" w:hAnsi="Arial" w:cs="Arial"/>
          <w:b/>
          <w:bCs/>
          <w:u w:val="single"/>
        </w:rPr>
        <w:t>Considerando</w:t>
      </w:r>
      <w:r w:rsidRPr="00B324D4">
        <w:rPr>
          <w:rFonts w:ascii="Arial" w:eastAsia="Arial" w:hAnsi="Arial" w:cs="Arial"/>
        </w:rPr>
        <w:t xml:space="preserve"> que o Ministério da Saúde expediu declaração de Emergência de Saúde Pública de Importância Nacional em razão da dispersão do novo coronavírus, através da Portaria nº 188, de 03 de fevereiro de 2020, agente etiológico que já está em fase de transmissão comunitária em todo território nacional, segundo declarado pelo MS na Portaria nº 454, de 20 de março de 2020;</w:t>
      </w:r>
    </w:p>
    <w:p w14:paraId="01E4467C"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2D70C476" w14:textId="77777777"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o disposto no </w:t>
      </w:r>
      <w:r w:rsidRPr="00B324D4">
        <w:rPr>
          <w:rFonts w:ascii="Arial" w:eastAsia="Arial" w:hAnsi="Arial" w:cs="Arial"/>
          <w:b/>
          <w:bCs/>
          <w:lang w:eastAsia="en-US" w:bidi="en-US"/>
        </w:rPr>
        <w:t>art. 37, caput, da Constituição Federal de 1988</w:t>
      </w:r>
      <w:r w:rsidRPr="00B324D4">
        <w:rPr>
          <w:rFonts w:ascii="Arial" w:eastAsia="Arial" w:hAnsi="Arial" w:cs="Arial"/>
          <w:lang w:eastAsia="en-US" w:bidi="en-US"/>
        </w:rPr>
        <w:t xml:space="preserve">, segundo o qual a administração pública direta e indireta de qualquer dos Poderes da União, dos Estados, do Distrito Federal e dos Municípios obedecerá aos princípios de legalidade, impessoalidade, moralidade, </w:t>
      </w:r>
      <w:r w:rsidRPr="00B324D4">
        <w:rPr>
          <w:rFonts w:ascii="Arial" w:eastAsia="Arial" w:hAnsi="Arial" w:cs="Arial"/>
          <w:b/>
          <w:bCs/>
          <w:lang w:eastAsia="en-US" w:bidi="en-US"/>
        </w:rPr>
        <w:t>publicidade</w:t>
      </w:r>
      <w:r w:rsidRPr="00B324D4">
        <w:rPr>
          <w:rFonts w:ascii="Arial" w:eastAsia="Arial" w:hAnsi="Arial" w:cs="Arial"/>
          <w:lang w:eastAsia="en-US" w:bidi="en-US"/>
        </w:rPr>
        <w:t xml:space="preserve"> e eficiência;</w:t>
      </w:r>
    </w:p>
    <w:p w14:paraId="5A2DAC4C"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2537D0C1" w14:textId="77777777" w:rsidR="001565A8" w:rsidRPr="00B324D4" w:rsidRDefault="001565A8" w:rsidP="001565A8">
      <w:pPr>
        <w:pStyle w:val="Standard"/>
        <w:spacing w:before="120" w:line="360" w:lineRule="auto"/>
        <w:ind w:right="27" w:firstLine="709"/>
        <w:jc w:val="both"/>
        <w:rPr>
          <w:rFonts w:ascii="Arial" w:eastAsia="Arial" w:hAnsi="Arial" w:cs="Arial"/>
          <w:i/>
          <w:iCs/>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o quanto disposto pela </w:t>
      </w:r>
      <w:r w:rsidRPr="00B324D4">
        <w:rPr>
          <w:rFonts w:ascii="Arial" w:eastAsia="Arial" w:hAnsi="Arial" w:cs="Arial"/>
          <w:b/>
          <w:bCs/>
          <w:lang w:eastAsia="en-US" w:bidi="en-US"/>
        </w:rPr>
        <w:t>Lei de Responsabilidade Fiscal</w:t>
      </w:r>
      <w:r w:rsidRPr="00B324D4">
        <w:rPr>
          <w:rFonts w:ascii="Arial" w:eastAsia="Arial" w:hAnsi="Arial" w:cs="Arial"/>
          <w:lang w:eastAsia="en-US" w:bidi="en-US"/>
        </w:rPr>
        <w:t xml:space="preserve"> (Lei Complementar nº 101/2000), segundo a qual: “</w:t>
      </w:r>
      <w:r w:rsidRPr="00B324D4">
        <w:rPr>
          <w:rFonts w:ascii="Arial" w:eastAsia="Arial" w:hAnsi="Arial" w:cs="Arial"/>
          <w:i/>
          <w:iCs/>
          <w:lang w:eastAsia="en-US" w:bidi="en-US"/>
        </w:rPr>
        <w:t>A responsabilidade na gestão fiscal pressupõe a ação planejada e transparente” (</w:t>
      </w:r>
      <w:r w:rsidRPr="00B324D4">
        <w:rPr>
          <w:rFonts w:ascii="Arial" w:eastAsia="Arial" w:hAnsi="Arial" w:cs="Arial"/>
          <w:b/>
          <w:bCs/>
          <w:i/>
          <w:iCs/>
          <w:lang w:eastAsia="en-US" w:bidi="en-US"/>
        </w:rPr>
        <w:t>art. 1º, §1º-A</w:t>
      </w:r>
      <w:r w:rsidRPr="00B324D4">
        <w:rPr>
          <w:rFonts w:ascii="Arial" w:eastAsia="Arial" w:hAnsi="Arial" w:cs="Arial"/>
          <w:i/>
          <w:iCs/>
          <w:lang w:eastAsia="en-US" w:bidi="en-US"/>
        </w:rPr>
        <w:t>);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 (</w:t>
      </w:r>
      <w:r w:rsidRPr="00B324D4">
        <w:rPr>
          <w:rFonts w:ascii="Arial" w:eastAsia="Arial" w:hAnsi="Arial" w:cs="Arial"/>
          <w:b/>
          <w:bCs/>
          <w:i/>
          <w:iCs/>
          <w:lang w:eastAsia="en-US" w:bidi="en-US"/>
        </w:rPr>
        <w:t>art. 48, caput</w:t>
      </w:r>
      <w:r w:rsidRPr="00B324D4">
        <w:rPr>
          <w:rFonts w:ascii="Arial" w:eastAsia="Arial" w:hAnsi="Arial" w:cs="Arial"/>
          <w:i/>
          <w:iCs/>
          <w:lang w:eastAsia="en-US" w:bidi="en-US"/>
        </w:rPr>
        <w:t xml:space="preserve">); “A transparência será assegurada também mediante: incentivo à participação popular e realização de audiências públicas, durante os processos de elaboração e discussão dos planos, lei de diretrizes orçamentárias e </w:t>
      </w:r>
      <w:r w:rsidRPr="00B324D4">
        <w:rPr>
          <w:rFonts w:ascii="Arial" w:eastAsia="Arial" w:hAnsi="Arial" w:cs="Arial"/>
          <w:i/>
          <w:iCs/>
          <w:lang w:eastAsia="en-US" w:bidi="en-US"/>
        </w:rPr>
        <w:lastRenderedPageBreak/>
        <w:t>orçamentos; liberação ao pleno conhecimento e acompanhamento da sociedade, em tempo real, de informações pormenorizadas sobre a execução orçamentária e financeira, em meios eletrônicos de acesso público; e adoção de sistema integrado de administração financeira e controle, que atenda a padrão mínimo de qualidade estabelecido pelo Poder Executivo da União” (</w:t>
      </w:r>
      <w:r w:rsidRPr="00B324D4">
        <w:rPr>
          <w:rFonts w:ascii="Arial" w:eastAsia="Arial" w:hAnsi="Arial" w:cs="Arial"/>
          <w:b/>
          <w:bCs/>
          <w:i/>
          <w:iCs/>
          <w:lang w:eastAsia="en-US" w:bidi="en-US"/>
        </w:rPr>
        <w:t>art. 48, §1º</w:t>
      </w:r>
      <w:r w:rsidRPr="00B324D4">
        <w:rPr>
          <w:rFonts w:ascii="Arial" w:eastAsia="Arial" w:hAnsi="Arial" w:cs="Arial"/>
          <w:i/>
          <w:iCs/>
          <w:lang w:eastAsia="en-US" w:bidi="en-US"/>
        </w:rPr>
        <w:t>);</w:t>
      </w:r>
    </w:p>
    <w:p w14:paraId="69503A3A"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45D6B32A" w14:textId="77777777" w:rsidR="001565A8" w:rsidRPr="008F40C3" w:rsidRDefault="001565A8" w:rsidP="001565A8">
      <w:pPr>
        <w:pStyle w:val="Standard"/>
        <w:spacing w:before="120" w:line="360" w:lineRule="auto"/>
        <w:ind w:right="27" w:firstLine="709"/>
        <w:jc w:val="both"/>
        <w:rPr>
          <w:rFonts w:ascii="Arial" w:eastAsia="Arial" w:hAnsi="Arial" w:cs="Arial"/>
          <w:i/>
          <w:iCs/>
          <w:lang w:eastAsia="en-US" w:bidi="en-US"/>
        </w:rPr>
      </w:pPr>
      <w:r w:rsidRPr="008F40C3">
        <w:rPr>
          <w:rFonts w:ascii="Arial" w:eastAsia="Arial" w:hAnsi="Arial" w:cs="Arial"/>
          <w:b/>
          <w:bCs/>
          <w:u w:val="single"/>
          <w:lang w:eastAsia="en-US" w:bidi="en-US"/>
        </w:rPr>
        <w:t>Considerando</w:t>
      </w:r>
      <w:r w:rsidRPr="008F40C3">
        <w:rPr>
          <w:rFonts w:ascii="Arial" w:eastAsia="Arial" w:hAnsi="Arial" w:cs="Arial"/>
          <w:lang w:eastAsia="en-US" w:bidi="en-US"/>
        </w:rPr>
        <w:t xml:space="preserve"> o quanto disposto pela </w:t>
      </w:r>
      <w:r w:rsidRPr="008F40C3">
        <w:rPr>
          <w:rFonts w:ascii="Arial" w:eastAsia="Arial" w:hAnsi="Arial" w:cs="Arial"/>
          <w:b/>
          <w:bCs/>
          <w:lang w:eastAsia="en-US" w:bidi="en-US"/>
        </w:rPr>
        <w:t>Lei de Acesso à Informação</w:t>
      </w:r>
      <w:r w:rsidRPr="008F40C3">
        <w:rPr>
          <w:rFonts w:ascii="Arial" w:eastAsia="Arial" w:hAnsi="Arial" w:cs="Arial"/>
          <w:lang w:eastAsia="en-US" w:bidi="en-US"/>
        </w:rPr>
        <w:t xml:space="preserve"> (Lei nº 12.527/2011), segundo a qual “</w:t>
      </w:r>
      <w:r w:rsidRPr="008F40C3">
        <w:rPr>
          <w:rFonts w:ascii="Arial" w:eastAsia="Arial" w:hAnsi="Arial" w:cs="Arial"/>
          <w:i/>
          <w:iCs/>
          <w:lang w:eastAsia="en-US" w:bidi="en-US"/>
        </w:rPr>
        <w:t>Deve ser fomentado o desenvolvimento da cultura de transparência na administração pública” (</w:t>
      </w:r>
      <w:r w:rsidRPr="008F40C3">
        <w:rPr>
          <w:rFonts w:ascii="Arial" w:eastAsia="Arial" w:hAnsi="Arial" w:cs="Arial"/>
          <w:b/>
          <w:bCs/>
          <w:i/>
          <w:iCs/>
          <w:lang w:eastAsia="en-US" w:bidi="en-US"/>
        </w:rPr>
        <w:t>art. 3º, IV</w:t>
      </w:r>
      <w:r w:rsidRPr="008F40C3">
        <w:rPr>
          <w:rFonts w:ascii="Arial" w:eastAsia="Arial" w:hAnsi="Arial" w:cs="Arial"/>
          <w:i/>
          <w:iCs/>
          <w:lang w:eastAsia="en-US" w:bidi="en-US"/>
        </w:rPr>
        <w:t>); “É dever do Estado garantir o direito de acesso à informação, que será franqueada, mediante procedimentos objetivos e ágeis, de forma transparente, clara e em linguagem de fácil compreensão” (</w:t>
      </w:r>
      <w:r w:rsidRPr="008F40C3">
        <w:rPr>
          <w:rFonts w:ascii="Arial" w:eastAsia="Arial" w:hAnsi="Arial" w:cs="Arial"/>
          <w:b/>
          <w:bCs/>
          <w:i/>
          <w:iCs/>
          <w:lang w:eastAsia="en-US" w:bidi="en-US"/>
        </w:rPr>
        <w:t>art. 5º</w:t>
      </w:r>
      <w:r w:rsidRPr="008F40C3">
        <w:rPr>
          <w:rFonts w:ascii="Arial" w:eastAsia="Arial" w:hAnsi="Arial" w:cs="Arial"/>
          <w:i/>
          <w:iCs/>
          <w:lang w:eastAsia="en-US" w:bidi="en-US"/>
        </w:rPr>
        <w:t>); “Cabe aos órgãos e entidades do poder público, observadas as normas e procedimentos específicos aplicáveis, assegurar a gestão transparente da informação, propiciando amplo acesso a ela e sua divulgação” (</w:t>
      </w:r>
      <w:r w:rsidRPr="008F40C3">
        <w:rPr>
          <w:rFonts w:ascii="Arial" w:eastAsia="Arial" w:hAnsi="Arial" w:cs="Arial"/>
          <w:b/>
          <w:bCs/>
          <w:i/>
          <w:iCs/>
          <w:lang w:eastAsia="en-US" w:bidi="en-US"/>
        </w:rPr>
        <w:t>art. 6º, inciso I</w:t>
      </w:r>
      <w:r w:rsidRPr="008F40C3">
        <w:rPr>
          <w:rFonts w:ascii="Arial" w:eastAsia="Arial" w:hAnsi="Arial" w:cs="Arial"/>
          <w:i/>
          <w:iCs/>
          <w:lang w:eastAsia="en-US" w:bidi="en-US"/>
        </w:rPr>
        <w:t>);</w:t>
      </w:r>
    </w:p>
    <w:p w14:paraId="58A421E8" w14:textId="77777777" w:rsidR="001565A8" w:rsidRPr="00B324D4" w:rsidRDefault="001565A8" w:rsidP="001565A8">
      <w:pPr>
        <w:pStyle w:val="Standard"/>
        <w:spacing w:before="120" w:line="360" w:lineRule="auto"/>
        <w:ind w:right="27" w:firstLine="709"/>
        <w:jc w:val="both"/>
        <w:rPr>
          <w:rFonts w:ascii="Arial" w:eastAsia="Arial" w:hAnsi="Arial" w:cs="Arial"/>
          <w:i/>
          <w:iCs/>
          <w:lang w:eastAsia="en-US" w:bidi="en-US"/>
        </w:rPr>
      </w:pPr>
    </w:p>
    <w:p w14:paraId="2BB59E58" w14:textId="77777777" w:rsidR="001565A8" w:rsidRPr="00B324D4" w:rsidRDefault="001565A8" w:rsidP="001565A8">
      <w:pPr>
        <w:pStyle w:val="Standard"/>
        <w:spacing w:before="120" w:line="360" w:lineRule="auto"/>
        <w:ind w:right="27" w:firstLine="709"/>
        <w:jc w:val="both"/>
        <w:rPr>
          <w:rFonts w:ascii="Arial" w:eastAsia="Arial" w:hAnsi="Arial" w:cs="Arial"/>
          <w:i/>
          <w:iCs/>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o Supremo Tribunal Federal, em decisão proferida pelo Ministro Alexandre de Moraes na Ação Direta de Inconstitucionalidade n. 6351, ao suspender a eficácia do artigo 6-B da Lei 13.979/2020, manifestou-se no sentido de que: </w:t>
      </w:r>
      <w:r w:rsidRPr="00B324D4">
        <w:rPr>
          <w:rFonts w:ascii="Arial" w:eastAsia="Arial" w:hAnsi="Arial" w:cs="Arial"/>
          <w:i/>
          <w:iCs/>
          <w:lang w:eastAsia="en-US" w:bidi="en-US"/>
        </w:rPr>
        <w:t>“o acesso às informações consubstancia-se em verdadeira garantia instrumental ao pleno exercício do princípio democrático, que abrange “debater assuntos públicos de forma irrestrita, robusta e aberta.” (Cantwell v. Connecticut, 310 U.S. 296, 310(1940), quoted 376U.S. at 271-72).”</w:t>
      </w:r>
    </w:p>
    <w:p w14:paraId="7188605F"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17E60484" w14:textId="77777777" w:rsidR="001565A8" w:rsidRDefault="001565A8" w:rsidP="001565A8">
      <w:pPr>
        <w:pStyle w:val="Standard"/>
        <w:spacing w:before="120" w:line="360" w:lineRule="auto"/>
        <w:ind w:right="27" w:firstLine="709"/>
        <w:jc w:val="both"/>
        <w:rPr>
          <w:rFonts w:ascii="Arial" w:eastAsia="Arial" w:hAnsi="Arial" w:cs="Arial"/>
          <w:i/>
          <w:iCs/>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o quanto disposto pela </w:t>
      </w:r>
      <w:r w:rsidRPr="00B324D4">
        <w:rPr>
          <w:rFonts w:ascii="Arial" w:eastAsia="Arial" w:hAnsi="Arial" w:cs="Arial"/>
          <w:b/>
          <w:bCs/>
          <w:lang w:eastAsia="en-US" w:bidi="en-US"/>
        </w:rPr>
        <w:t>Lei Federal nº 13.979/2020</w:t>
      </w:r>
      <w:r w:rsidRPr="00B324D4">
        <w:rPr>
          <w:rFonts w:ascii="Arial" w:eastAsia="Arial" w:hAnsi="Arial" w:cs="Arial"/>
          <w:lang w:eastAsia="en-US" w:bidi="en-US"/>
        </w:rPr>
        <w:t xml:space="preserve">, que trata das medidas para enfrentamento da emergência de saúde pública de importância internacional decorrente do coronavírus, segundo a qual: </w:t>
      </w:r>
      <w:r w:rsidRPr="00B324D4">
        <w:rPr>
          <w:rFonts w:ascii="Arial" w:eastAsia="Arial" w:hAnsi="Arial" w:cs="Arial"/>
          <w:i/>
          <w:iCs/>
          <w:lang w:eastAsia="en-US" w:bidi="en-US"/>
        </w:rPr>
        <w:t xml:space="preserve">"Todas as contratações ou aquisições realizadas com fulcro nesta Lei serão imediatamente disponibilizadas em sítio oficial específico na rede mundial de computadores </w:t>
      </w:r>
      <w:r w:rsidRPr="00B324D4">
        <w:rPr>
          <w:rFonts w:ascii="Arial" w:eastAsia="Arial" w:hAnsi="Arial" w:cs="Arial"/>
          <w:i/>
          <w:iCs/>
          <w:lang w:eastAsia="en-US" w:bidi="en-US"/>
        </w:rPr>
        <w:lastRenderedPageBreak/>
        <w:t>(internet),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 (art. 4º, §2º);</w:t>
      </w:r>
    </w:p>
    <w:p w14:paraId="6E47F3EC" w14:textId="77777777" w:rsidR="001565A8" w:rsidRPr="00B324D4" w:rsidRDefault="001565A8" w:rsidP="001565A8">
      <w:pPr>
        <w:pStyle w:val="Standard"/>
        <w:spacing w:before="120" w:line="360" w:lineRule="auto"/>
        <w:ind w:right="27" w:firstLine="709"/>
        <w:jc w:val="both"/>
        <w:rPr>
          <w:rFonts w:ascii="Arial" w:eastAsia="Arial" w:hAnsi="Arial" w:cs="Arial"/>
          <w:i/>
          <w:iCs/>
          <w:lang w:eastAsia="en-US" w:bidi="en-US"/>
        </w:rPr>
      </w:pPr>
    </w:p>
    <w:p w14:paraId="596598DF" w14:textId="77777777"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as recentes flexibilizações legislativas em torno dos processos de aquisição e contratação devem importar a adoção de redobradas cautelas com a gestão do patrimônio público, recomendando-se especial atenção com a transparência ativa, contemporânea e qualificada a respeito de tais negócios, de modo a propiciar a ampla fiscalização social e pelos atores do sistema de controle formal;  </w:t>
      </w:r>
    </w:p>
    <w:p w14:paraId="29A691D5" w14:textId="77777777" w:rsidR="001565A8" w:rsidRDefault="001565A8" w:rsidP="001565A8">
      <w:pPr>
        <w:spacing w:before="120" w:line="360" w:lineRule="auto"/>
        <w:jc w:val="both"/>
        <w:rPr>
          <w:rFonts w:ascii="Arial" w:eastAsia="Arial" w:hAnsi="Arial" w:cs="Arial"/>
          <w:b/>
          <w:bCs/>
          <w:u w:val="single"/>
        </w:rPr>
      </w:pPr>
    </w:p>
    <w:p w14:paraId="763564A7" w14:textId="77777777" w:rsidR="001565A8" w:rsidRPr="00B324D4" w:rsidRDefault="001565A8" w:rsidP="001565A8">
      <w:pPr>
        <w:spacing w:before="120" w:line="360" w:lineRule="auto"/>
        <w:ind w:firstLine="709"/>
        <w:jc w:val="both"/>
      </w:pPr>
      <w:r w:rsidRPr="00B324D4">
        <w:rPr>
          <w:rFonts w:ascii="Arial" w:eastAsia="Arial" w:hAnsi="Arial" w:cs="Arial"/>
          <w:b/>
          <w:bCs/>
          <w:u w:val="single"/>
        </w:rPr>
        <w:t>Considerando</w:t>
      </w:r>
      <w:r w:rsidRPr="00B324D4">
        <w:rPr>
          <w:rFonts w:ascii="Arial" w:eastAsia="Arial" w:hAnsi="Arial" w:cs="Arial"/>
        </w:rPr>
        <w:t xml:space="preserve"> que a referida transparência ativa impõe ao ente público não apenas a imediata publicação da </w:t>
      </w:r>
      <w:r w:rsidRPr="00B324D4">
        <w:rPr>
          <w:rFonts w:ascii="Arial" w:eastAsia="Arial" w:hAnsi="Arial" w:cs="Arial"/>
          <w:b/>
          <w:bCs/>
          <w:u w:val="single"/>
        </w:rPr>
        <w:t>informação</w:t>
      </w:r>
      <w:r w:rsidRPr="00B324D4">
        <w:rPr>
          <w:rFonts w:ascii="Arial" w:eastAsia="Arial" w:hAnsi="Arial" w:cs="Arial"/>
        </w:rPr>
        <w:t xml:space="preserve"> contendo os principais dados das aquisições e contratações, mas também dos </w:t>
      </w:r>
      <w:r w:rsidRPr="00B324D4">
        <w:rPr>
          <w:rFonts w:ascii="Arial" w:eastAsia="Arial" w:hAnsi="Arial" w:cs="Arial"/>
          <w:b/>
          <w:bCs/>
          <w:u w:val="single"/>
        </w:rPr>
        <w:t>documentos</w:t>
      </w:r>
      <w:r w:rsidRPr="00B324D4">
        <w:rPr>
          <w:rFonts w:ascii="Arial" w:eastAsia="Arial" w:hAnsi="Arial" w:cs="Arial"/>
        </w:rPr>
        <w:t xml:space="preserve"> integrantes dos respectivos processos nos termos da lei, a exemplo do seu instrumento, do termo de referência simplificado ou projeto básico simplificado, contando todos os elementos constantes do §</w:t>
      </w:r>
      <w:r>
        <w:rPr>
          <w:rFonts w:ascii="Arial" w:eastAsia="Arial" w:hAnsi="Arial" w:cs="Arial"/>
        </w:rPr>
        <w:t xml:space="preserve"> </w:t>
      </w:r>
      <w:r w:rsidRPr="00B324D4">
        <w:rPr>
          <w:rFonts w:ascii="Arial" w:eastAsia="Arial" w:hAnsi="Arial" w:cs="Arial"/>
        </w:rPr>
        <w:t xml:space="preserve">1º, do art. 4º-E, da Lei nº 13.979/2020, documentos de habilitação do contratado, propostas de preço, indicação de dotação orçamentária, documentos de habilitação, dentre outros; </w:t>
      </w:r>
    </w:p>
    <w:p w14:paraId="7963576C"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731DB4B4" w14:textId="77777777"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o Art. 4º, § 2º, da Lei 13.979/2020 aplica-se a todos os entes federados independentemente do número de habitantes;</w:t>
      </w:r>
    </w:p>
    <w:p w14:paraId="55AA61F0"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047C1A78" w14:textId="0C7936D7"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segundo entendimento do Conselho Federal de Medici</w:t>
      </w:r>
      <w:r>
        <w:rPr>
          <w:rFonts w:ascii="Arial" w:eastAsia="Arial" w:hAnsi="Arial" w:cs="Arial"/>
          <w:lang w:eastAsia="en-US" w:bidi="en-US"/>
        </w:rPr>
        <w:t>na</w:t>
      </w:r>
      <w:r w:rsidRPr="00B324D4">
        <w:rPr>
          <w:rStyle w:val="Refdenotaderodap"/>
          <w:rFonts w:ascii="Arial" w:eastAsia="Arial" w:hAnsi="Arial" w:cs="Arial"/>
          <w:lang w:eastAsia="en-US" w:bidi="en-US"/>
        </w:rPr>
        <w:footnoteReference w:id="1"/>
      </w:r>
      <w:r w:rsidRPr="00B324D4">
        <w:rPr>
          <w:rFonts w:ascii="Arial" w:eastAsia="Arial" w:hAnsi="Arial" w:cs="Arial"/>
          <w:lang w:eastAsia="en-US" w:bidi="en-US"/>
        </w:rPr>
        <w:t xml:space="preserve">, </w:t>
      </w:r>
      <w:r w:rsidRPr="6D647178">
        <w:rPr>
          <w:rFonts w:ascii="Arial" w:eastAsia="Arial" w:hAnsi="Arial" w:cs="Arial"/>
          <w:i/>
          <w:iCs/>
          <w:lang w:eastAsia="en-US" w:bidi="en-US"/>
        </w:rPr>
        <w:t xml:space="preserve">“o uso racional dos insumos necessários para proteção dos </w:t>
      </w:r>
      <w:r w:rsidRPr="6D647178">
        <w:rPr>
          <w:rFonts w:ascii="Arial" w:eastAsia="Arial" w:hAnsi="Arial" w:cs="Arial"/>
          <w:i/>
          <w:iCs/>
          <w:lang w:eastAsia="en-US" w:bidi="en-US"/>
        </w:rPr>
        <w:lastRenderedPageBreak/>
        <w:t>profissionais de saúde, redução do contágio do coronavírus e diagnóstico e tratamento dos doentes hospitalizados pela COVID</w:t>
      </w:r>
      <w:r w:rsidRPr="6D647178">
        <w:rPr>
          <w:rFonts w:ascii="Cambria Math" w:eastAsia="Arial" w:hAnsi="Cambria Math" w:cs="Cambria Math"/>
          <w:i/>
          <w:iCs/>
          <w:lang w:eastAsia="en-US" w:bidi="en-US"/>
        </w:rPr>
        <w:t>‐</w:t>
      </w:r>
      <w:r w:rsidRPr="6D647178">
        <w:rPr>
          <w:rFonts w:ascii="Arial" w:eastAsia="Arial" w:hAnsi="Arial" w:cs="Arial"/>
          <w:i/>
          <w:iCs/>
          <w:lang w:eastAsia="en-US" w:bidi="en-US"/>
        </w:rPr>
        <w:t>19 deve ser enfatizado, evitando</w:t>
      </w:r>
      <w:r w:rsidRPr="6D647178">
        <w:rPr>
          <w:rFonts w:ascii="Cambria Math" w:eastAsia="Arial" w:hAnsi="Cambria Math" w:cs="Cambria Math"/>
          <w:i/>
          <w:iCs/>
          <w:lang w:eastAsia="en-US" w:bidi="en-US"/>
        </w:rPr>
        <w:t>‐</w:t>
      </w:r>
      <w:r w:rsidRPr="6D647178">
        <w:rPr>
          <w:rFonts w:ascii="Arial" w:eastAsia="Arial" w:hAnsi="Arial" w:cs="Arial"/>
          <w:i/>
          <w:iCs/>
          <w:lang w:eastAsia="en-US" w:bidi="en-US"/>
        </w:rPr>
        <w:t>se  o  uso  indevido,  desperdícios  e desabastecimentos”;</w:t>
      </w:r>
    </w:p>
    <w:p w14:paraId="38771437" w14:textId="7002AEC5" w:rsidR="6D647178" w:rsidRDefault="6D647178" w:rsidP="6D647178">
      <w:pPr>
        <w:pStyle w:val="Standard"/>
        <w:spacing w:before="120" w:line="360" w:lineRule="auto"/>
        <w:ind w:right="27" w:firstLine="709"/>
        <w:jc w:val="both"/>
        <w:rPr>
          <w:rFonts w:ascii="Arial" w:eastAsia="Arial" w:hAnsi="Arial" w:cs="Arial"/>
          <w:i/>
          <w:iCs/>
          <w:lang w:eastAsia="en-US" w:bidi="en-US"/>
        </w:rPr>
      </w:pPr>
    </w:p>
    <w:p w14:paraId="6BEC3AAA" w14:textId="2306B77C"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6D647178">
        <w:rPr>
          <w:rFonts w:ascii="Arial" w:eastAsia="Arial" w:hAnsi="Arial" w:cs="Arial"/>
          <w:b/>
          <w:bCs/>
          <w:u w:val="single"/>
          <w:lang w:eastAsia="en-US" w:bidi="en-US"/>
        </w:rPr>
        <w:t>Considerando</w:t>
      </w:r>
      <w:r w:rsidRPr="6D647178">
        <w:rPr>
          <w:rFonts w:ascii="Arial" w:eastAsia="Arial" w:hAnsi="Arial" w:cs="Arial"/>
          <w:lang w:eastAsia="en-US" w:bidi="en-US"/>
        </w:rPr>
        <w:t xml:space="preserve"> que a divulgação de tais aquisições e repasses de recursos é de interesse público, visto ser direito da sociedade a ciência dos quantitativos de materiais necessários para o adequado atendimento à saúde, e que a publicização de tais informações deve ser realizada não apenas pela imprensa, mas sobretudo pelo Poder Público;</w:t>
      </w:r>
    </w:p>
    <w:p w14:paraId="7DCA1F1A" w14:textId="50A7435F" w:rsidR="6D647178" w:rsidRDefault="6D647178" w:rsidP="6D647178">
      <w:pPr>
        <w:pStyle w:val="Standard"/>
        <w:spacing w:before="120" w:line="360" w:lineRule="auto"/>
        <w:ind w:right="27" w:firstLine="709"/>
        <w:jc w:val="both"/>
        <w:rPr>
          <w:rFonts w:ascii="Arial" w:eastAsia="Arial" w:hAnsi="Arial" w:cs="Arial"/>
          <w:lang w:eastAsia="en-US" w:bidi="en-US"/>
        </w:rPr>
      </w:pPr>
    </w:p>
    <w:p w14:paraId="146DB092" w14:textId="77777777" w:rsidR="001565A8" w:rsidRDefault="001565A8" w:rsidP="001565A8">
      <w:pPr>
        <w:pStyle w:val="Standard"/>
        <w:spacing w:before="120" w:line="360" w:lineRule="auto"/>
        <w:ind w:right="27" w:firstLine="709"/>
        <w:jc w:val="both"/>
        <w:rPr>
          <w:rFonts w:ascii="Arial" w:eastAsia="Arial" w:hAnsi="Arial" w:cs="Arial"/>
          <w:lang w:eastAsia="en-US" w:bidi="en-US"/>
        </w:rPr>
      </w:pPr>
      <w:r w:rsidRPr="6D647178">
        <w:rPr>
          <w:rFonts w:ascii="Arial" w:eastAsia="Arial" w:hAnsi="Arial" w:cs="Arial"/>
          <w:b/>
          <w:bCs/>
          <w:u w:val="single"/>
          <w:lang w:eastAsia="en-US" w:bidi="en-US"/>
        </w:rPr>
        <w:t>Considerando</w:t>
      </w:r>
      <w:r w:rsidRPr="6D647178">
        <w:rPr>
          <w:rFonts w:ascii="Arial" w:eastAsia="Arial" w:hAnsi="Arial" w:cs="Arial"/>
          <w:lang w:eastAsia="en-US" w:bidi="en-US"/>
        </w:rPr>
        <w:t xml:space="preserve"> que os dados a respeito da situação do Sistema Único de Saúde são de extrema importância para a população, ainda mais em situações de emergência de calamidade pública;</w:t>
      </w:r>
    </w:p>
    <w:p w14:paraId="307564B6" w14:textId="4EA81D21" w:rsidR="6D647178" w:rsidRDefault="6D647178" w:rsidP="6D647178">
      <w:pPr>
        <w:pStyle w:val="Standard"/>
        <w:spacing w:before="120" w:line="360" w:lineRule="auto"/>
        <w:ind w:right="27" w:firstLine="709"/>
        <w:jc w:val="both"/>
        <w:rPr>
          <w:rFonts w:ascii="Arial" w:eastAsia="Arial" w:hAnsi="Arial" w:cs="Arial"/>
          <w:lang w:eastAsia="en-US" w:bidi="en-US"/>
        </w:rPr>
      </w:pPr>
    </w:p>
    <w:p w14:paraId="71918143" w14:textId="77777777" w:rsidR="001565A8" w:rsidRPr="00B324D4"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interessa não apenas à sociedade que o Poder Público disponha e divulgue tais dados, mas também à própria Administração Pública, para que esteja ciente do quantitativo de material que tem disponível; </w:t>
      </w:r>
    </w:p>
    <w:p w14:paraId="7618ED02" w14:textId="77777777" w:rsidR="001565A8" w:rsidRDefault="001565A8" w:rsidP="001565A8">
      <w:pPr>
        <w:pStyle w:val="Standard"/>
        <w:spacing w:before="120" w:line="360" w:lineRule="auto"/>
        <w:ind w:right="27"/>
        <w:jc w:val="both"/>
        <w:rPr>
          <w:rFonts w:ascii="Arial" w:eastAsia="Arial" w:hAnsi="Arial" w:cs="Arial"/>
          <w:b/>
          <w:bCs/>
          <w:u w:val="single"/>
          <w:lang w:eastAsia="en-US" w:bidi="en-US"/>
        </w:rPr>
      </w:pPr>
    </w:p>
    <w:p w14:paraId="354967BA" w14:textId="77777777" w:rsidR="001565A8" w:rsidRDefault="001565A8" w:rsidP="001565A8">
      <w:pPr>
        <w:pStyle w:val="Standard"/>
        <w:spacing w:before="120" w:line="360" w:lineRule="auto"/>
        <w:ind w:right="27" w:firstLine="709"/>
        <w:jc w:val="both"/>
        <w:rPr>
          <w:rFonts w:ascii="Arial" w:eastAsia="Arial" w:hAnsi="Arial" w:cs="Arial"/>
          <w:lang w:eastAsia="en-US" w:bidi="en-US"/>
        </w:rPr>
      </w:pPr>
      <w:r w:rsidRPr="00B324D4">
        <w:rPr>
          <w:rFonts w:ascii="Arial" w:eastAsia="Arial" w:hAnsi="Arial" w:cs="Arial"/>
          <w:b/>
          <w:bCs/>
          <w:u w:val="single"/>
          <w:lang w:eastAsia="en-US" w:bidi="en-US"/>
        </w:rPr>
        <w:t>Considerando</w:t>
      </w:r>
      <w:r w:rsidRPr="00B324D4">
        <w:rPr>
          <w:rFonts w:ascii="Arial" w:eastAsia="Arial" w:hAnsi="Arial" w:cs="Arial"/>
          <w:lang w:eastAsia="en-US" w:bidi="en-US"/>
        </w:rPr>
        <w:t xml:space="preserve"> que as recentes flexibilizações legislativas operadas sobre os processos de aquisição e contratação não desoneram os Gestores Públicos de providenciar a efetiva publicidade inclusive dos procedimentos simplificados que eventualmente venham a adotar, nem de conferir a necessária motivação da escolha realizada;</w:t>
      </w:r>
    </w:p>
    <w:p w14:paraId="5C1D2A1A" w14:textId="77777777" w:rsidR="00B25F2B" w:rsidRPr="004721B8" w:rsidRDefault="001565A8" w:rsidP="00B25F2B">
      <w:pPr>
        <w:pStyle w:val="Standard"/>
        <w:spacing w:line="360" w:lineRule="auto"/>
        <w:ind w:right="27"/>
        <w:jc w:val="both"/>
        <w:rPr>
          <w:rFonts w:ascii="Arial" w:eastAsia="Arial" w:hAnsi="Arial" w:cs="Arial"/>
          <w:b/>
          <w:bCs/>
        </w:rPr>
      </w:pPr>
      <w:r>
        <w:rPr>
          <w:rFonts w:ascii="Arial" w:eastAsia="Arial" w:hAnsi="Arial" w:cs="Arial"/>
          <w:b/>
          <w:bCs/>
          <w:u w:val="single"/>
          <w:lang w:eastAsia="en-US" w:bidi="en-US"/>
        </w:rPr>
        <w:t xml:space="preserve"> </w:t>
      </w:r>
    </w:p>
    <w:p w14:paraId="65E517FC" w14:textId="77777777" w:rsidR="00B25F2B" w:rsidRPr="00DF4253" w:rsidRDefault="00B25F2B" w:rsidP="00B25F2B">
      <w:pPr>
        <w:pStyle w:val="Standard"/>
        <w:spacing w:line="360" w:lineRule="auto"/>
        <w:ind w:left="720" w:right="27"/>
        <w:jc w:val="both"/>
        <w:rPr>
          <w:rFonts w:ascii="Arial" w:eastAsia="Arial" w:hAnsi="Arial" w:cs="Arial"/>
          <w:b/>
          <w:bCs/>
          <w:kern w:val="0"/>
          <w:lang w:eastAsia="en-US"/>
        </w:rPr>
      </w:pPr>
      <w:r w:rsidRPr="004721B8">
        <w:rPr>
          <w:rFonts w:ascii="Arial" w:eastAsia="Arial" w:hAnsi="Arial" w:cs="Arial"/>
          <w:b/>
          <w:bCs/>
          <w:kern w:val="0"/>
          <w:lang w:eastAsia="en-US"/>
        </w:rPr>
        <w:t xml:space="preserve">RESOLVE RECOMENDAR, ao Senhor Prefeito do Município de </w:t>
      </w:r>
      <w:r w:rsidR="29A21EA4" w:rsidRPr="00DF4253">
        <w:rPr>
          <w:rFonts w:ascii="Arial" w:eastAsia="Arial" w:hAnsi="Arial" w:cs="Arial"/>
          <w:b/>
          <w:bCs/>
          <w:color w:val="FF0000"/>
          <w:kern w:val="0"/>
          <w:lang w:eastAsia="en-US"/>
        </w:rPr>
        <w:t>xxxx</w:t>
      </w:r>
      <w:r w:rsidRPr="004721B8">
        <w:rPr>
          <w:rFonts w:ascii="Arial" w:eastAsia="Arial" w:hAnsi="Arial" w:cs="Arial"/>
          <w:b/>
          <w:bCs/>
          <w:kern w:val="0"/>
          <w:lang w:eastAsia="en-US"/>
        </w:rPr>
        <w:t>, o seguinte:</w:t>
      </w:r>
    </w:p>
    <w:p w14:paraId="20D61802" w14:textId="77777777" w:rsidR="001565A8" w:rsidRPr="00DF4253" w:rsidRDefault="001565A8" w:rsidP="001565A8">
      <w:pPr>
        <w:spacing w:line="276" w:lineRule="auto"/>
        <w:ind w:firstLine="705"/>
        <w:jc w:val="both"/>
        <w:rPr>
          <w:rFonts w:ascii="Arial" w:eastAsia="Arial" w:hAnsi="Arial" w:cs="Arial"/>
        </w:rPr>
      </w:pPr>
    </w:p>
    <w:p w14:paraId="289F6E13" w14:textId="7002AEC5" w:rsidR="001565A8" w:rsidRPr="00DF4253" w:rsidRDefault="001565A8" w:rsidP="6D647178">
      <w:pPr>
        <w:spacing w:after="160" w:line="360" w:lineRule="auto"/>
        <w:ind w:left="360"/>
        <w:jc w:val="both"/>
        <w:rPr>
          <w:rFonts w:ascii="Arial" w:eastAsia="Arial" w:hAnsi="Arial" w:cs="Arial"/>
        </w:rPr>
      </w:pPr>
      <w:r w:rsidRPr="00DF4253">
        <w:rPr>
          <w:rFonts w:ascii="Arial" w:hAnsi="Arial" w:cs="Arial"/>
          <w:kern w:val="0"/>
          <w:lang w:eastAsia="en-US"/>
        </w:rPr>
        <w:t xml:space="preserve">a) </w:t>
      </w:r>
      <w:r w:rsidR="447D00ED" w:rsidRPr="6D647178">
        <w:rPr>
          <w:rFonts w:ascii="Arial" w:eastAsia="Arial" w:hAnsi="Arial" w:cs="Arial"/>
          <w:b/>
          <w:bCs/>
          <w:u w:val="single"/>
        </w:rPr>
        <w:t>No âmbito das informações de assistência à saúde</w:t>
      </w:r>
      <w:r w:rsidR="447D00ED" w:rsidRPr="6D647178">
        <w:rPr>
          <w:rFonts w:ascii="Arial" w:eastAsia="Arial" w:hAnsi="Arial" w:cs="Arial"/>
        </w:rPr>
        <w:t xml:space="preserve">, proceder a publicação e constante atualização de  Plano Municipal de </w:t>
      </w:r>
      <w:r w:rsidR="447D00ED" w:rsidRPr="6D647178">
        <w:rPr>
          <w:rFonts w:ascii="Arial" w:eastAsia="Arial" w:hAnsi="Arial" w:cs="Arial"/>
        </w:rPr>
        <w:lastRenderedPageBreak/>
        <w:t>Contingências, documento cuja elaboração é recomendada pela Secretaria da Saúde do Estado da Bahia, em seu próprio Plano,  bem como a disponibilização de diversas informações sanitárias de imprescindível conhecimento  pela sociedade, a saber: o número de leitos disponíveis de enfermaria e de UTI disponíveis no Município, ativos, em implantação ou interditados, e onde  estão instalados; o número de  casos de COVID-19 confirmados; o número de casos suspeitos;  o quantitativo de testes realizados  com os respectivos resultados; amostras aguardando processamento, e o número de óbitos;</w:t>
      </w:r>
    </w:p>
    <w:p w14:paraId="1A426C50" w14:textId="7002AEC5" w:rsidR="6D647178" w:rsidRDefault="6D647178" w:rsidP="6D647178">
      <w:pPr>
        <w:spacing w:after="160" w:line="360" w:lineRule="auto"/>
        <w:ind w:left="360"/>
        <w:jc w:val="both"/>
        <w:rPr>
          <w:rFonts w:ascii="Arial" w:eastAsia="Arial" w:hAnsi="Arial" w:cs="Arial"/>
        </w:rPr>
      </w:pPr>
    </w:p>
    <w:p w14:paraId="69D49D35" w14:textId="70F66DD7" w:rsidR="001565A8" w:rsidRPr="00DF4253" w:rsidRDefault="23FDEA4A" w:rsidP="6D647178">
      <w:pPr>
        <w:pStyle w:val="Standard"/>
        <w:spacing w:line="360" w:lineRule="auto"/>
        <w:ind w:left="360" w:right="27"/>
        <w:jc w:val="both"/>
        <w:rPr>
          <w:rFonts w:ascii="Arial" w:hAnsi="Arial" w:cs="Arial"/>
          <w:kern w:val="0"/>
          <w:lang w:eastAsia="en-US"/>
        </w:rPr>
      </w:pPr>
      <w:r w:rsidRPr="00DF4253">
        <w:rPr>
          <w:rFonts w:ascii="Arial" w:hAnsi="Arial" w:cs="Arial"/>
          <w:kern w:val="0"/>
          <w:lang w:eastAsia="en-US"/>
        </w:rPr>
        <w:t>b</w:t>
      </w:r>
      <w:r w:rsidR="001565A8" w:rsidRPr="00DF4253">
        <w:rPr>
          <w:rFonts w:ascii="Arial" w:hAnsi="Arial" w:cs="Arial"/>
          <w:kern w:val="0"/>
          <w:lang w:eastAsia="en-US"/>
        </w:rPr>
        <w:t>) divulgação</w:t>
      </w:r>
      <w:r w:rsidR="00391040" w:rsidRPr="00DF4253">
        <w:rPr>
          <w:rFonts w:ascii="Arial" w:hAnsi="Arial" w:cs="Arial"/>
          <w:kern w:val="0"/>
          <w:lang w:eastAsia="en-US"/>
        </w:rPr>
        <w:t xml:space="preserve">, em prazo não superior a </w:t>
      </w:r>
      <w:r w:rsidR="04CC7CBE" w:rsidRPr="00941DD5">
        <w:rPr>
          <w:rFonts w:ascii="Arial" w:hAnsi="Arial" w:cs="Arial"/>
          <w:color w:val="FF0000"/>
          <w:kern w:val="0"/>
          <w:highlight w:val="yellow"/>
          <w:lang w:eastAsia="en-US"/>
        </w:rPr>
        <w:t>xx d</w:t>
      </w:r>
      <w:r w:rsidR="00391040" w:rsidRPr="00941DD5">
        <w:rPr>
          <w:rFonts w:ascii="Arial" w:hAnsi="Arial" w:cs="Arial"/>
          <w:color w:val="FF0000"/>
          <w:kern w:val="0"/>
          <w:highlight w:val="yellow"/>
          <w:lang w:eastAsia="en-US"/>
        </w:rPr>
        <w:t>ias</w:t>
      </w:r>
      <w:r w:rsidR="10A2FD51" w:rsidRPr="00941DD5">
        <w:rPr>
          <w:rFonts w:ascii="Arial" w:hAnsi="Arial" w:cs="Arial"/>
          <w:color w:val="FF0000"/>
          <w:kern w:val="0"/>
          <w:highlight w:val="yellow"/>
          <w:lang w:eastAsia="en-US"/>
        </w:rPr>
        <w:t xml:space="preserve"> úteis</w:t>
      </w:r>
      <w:r w:rsidR="00391040" w:rsidRPr="00DF4253">
        <w:rPr>
          <w:rFonts w:ascii="Arial" w:hAnsi="Arial" w:cs="Arial"/>
          <w:kern w:val="0"/>
          <w:lang w:eastAsia="en-US"/>
        </w:rPr>
        <w:t>,</w:t>
      </w:r>
      <w:r w:rsidR="001565A8" w:rsidRPr="00DF4253">
        <w:rPr>
          <w:rFonts w:ascii="Arial" w:hAnsi="Arial" w:cs="Arial"/>
          <w:kern w:val="0"/>
          <w:lang w:eastAsia="en-US"/>
        </w:rPr>
        <w:t xml:space="preserve"> de informações atualizadas quanto aos recursos destinados ao enfrentamento da COVID-19, detalhando os dados concernentes à sua utilização de maneira completa, contínua, oportuna, verdadeira, verificável e em linguagem de fácil compreensão pelo cidadão;</w:t>
      </w:r>
    </w:p>
    <w:p w14:paraId="1C9FF750" w14:textId="48542BE7" w:rsidR="001565A8" w:rsidRPr="00DF4253" w:rsidRDefault="001565A8" w:rsidP="6D647178">
      <w:pPr>
        <w:pStyle w:val="Standard"/>
        <w:spacing w:line="360" w:lineRule="auto"/>
        <w:ind w:left="360" w:right="27"/>
        <w:jc w:val="both"/>
        <w:rPr>
          <w:rFonts w:ascii="Arial" w:hAnsi="Arial" w:cs="Arial"/>
          <w:kern w:val="0"/>
          <w:lang w:eastAsia="en-US"/>
        </w:rPr>
      </w:pPr>
    </w:p>
    <w:p w14:paraId="3FDF719C" w14:textId="0A45ABC5" w:rsidR="001565A8" w:rsidRPr="00DF4253" w:rsidRDefault="01A9BE5B" w:rsidP="6D647178">
      <w:pPr>
        <w:pStyle w:val="Standard"/>
        <w:spacing w:line="360" w:lineRule="auto"/>
        <w:ind w:left="360" w:right="27"/>
        <w:jc w:val="both"/>
        <w:rPr>
          <w:rFonts w:ascii="Arial" w:hAnsi="Arial" w:cs="Arial"/>
          <w:kern w:val="0"/>
          <w:lang w:eastAsia="en-US"/>
        </w:rPr>
      </w:pPr>
      <w:r w:rsidRPr="00DF4253">
        <w:rPr>
          <w:rFonts w:ascii="Arial" w:hAnsi="Arial" w:cs="Arial"/>
          <w:kern w:val="0"/>
          <w:lang w:eastAsia="en-US"/>
        </w:rPr>
        <w:t>c</w:t>
      </w:r>
      <w:r w:rsidR="001565A8" w:rsidRPr="00DF4253">
        <w:rPr>
          <w:rFonts w:ascii="Arial" w:hAnsi="Arial" w:cs="Arial"/>
          <w:kern w:val="0"/>
          <w:lang w:eastAsia="en-US"/>
        </w:rPr>
        <w:t>) publicação</w:t>
      </w:r>
      <w:r w:rsidR="00391040" w:rsidRPr="00DF4253">
        <w:rPr>
          <w:rFonts w:ascii="Arial" w:hAnsi="Arial" w:cs="Arial"/>
          <w:kern w:val="0"/>
          <w:lang w:eastAsia="en-US"/>
        </w:rPr>
        <w:t xml:space="preserve">, em prazo não superior a </w:t>
      </w:r>
      <w:r w:rsidR="4F41F1A0" w:rsidRPr="00941DD5">
        <w:rPr>
          <w:rFonts w:ascii="Arial" w:hAnsi="Arial" w:cs="Arial"/>
          <w:color w:val="FF0000"/>
          <w:kern w:val="0"/>
          <w:highlight w:val="yellow"/>
          <w:lang w:eastAsia="en-US"/>
        </w:rPr>
        <w:t xml:space="preserve">xx </w:t>
      </w:r>
      <w:r w:rsidR="00391040" w:rsidRPr="00941DD5">
        <w:rPr>
          <w:rFonts w:ascii="Arial" w:hAnsi="Arial" w:cs="Arial"/>
          <w:color w:val="FF0000"/>
          <w:kern w:val="0"/>
          <w:highlight w:val="yellow"/>
          <w:lang w:eastAsia="en-US"/>
        </w:rPr>
        <w:t>dias</w:t>
      </w:r>
      <w:r w:rsidR="0AF77637" w:rsidRPr="00941DD5">
        <w:rPr>
          <w:rFonts w:ascii="Arial" w:hAnsi="Arial" w:cs="Arial"/>
          <w:color w:val="FF0000"/>
          <w:kern w:val="0"/>
          <w:highlight w:val="yellow"/>
          <w:lang w:eastAsia="en-US"/>
        </w:rPr>
        <w:t xml:space="preserve"> úteis</w:t>
      </w:r>
      <w:r w:rsidR="00391040" w:rsidRPr="00DF4253">
        <w:rPr>
          <w:rFonts w:ascii="Arial" w:hAnsi="Arial" w:cs="Arial"/>
          <w:kern w:val="0"/>
          <w:lang w:eastAsia="en-US"/>
        </w:rPr>
        <w:t>,</w:t>
      </w:r>
      <w:r w:rsidR="001565A8" w:rsidRPr="00DF4253">
        <w:rPr>
          <w:rFonts w:ascii="Arial" w:hAnsi="Arial" w:cs="Arial"/>
          <w:kern w:val="0"/>
          <w:lang w:eastAsia="en-US"/>
        </w:rPr>
        <w:t xml:space="preserve"> das </w:t>
      </w:r>
      <w:r w:rsidR="001565A8" w:rsidRPr="00DF4253">
        <w:rPr>
          <w:rFonts w:ascii="Arial" w:hAnsi="Arial" w:cs="Arial"/>
          <w:b/>
          <w:bCs/>
          <w:kern w:val="0"/>
          <w:lang w:eastAsia="en-US"/>
        </w:rPr>
        <w:t>informações</w:t>
      </w:r>
      <w:r w:rsidR="001565A8" w:rsidRPr="00DF4253">
        <w:rPr>
          <w:rFonts w:ascii="Arial" w:hAnsi="Arial" w:cs="Arial"/>
          <w:kern w:val="0"/>
          <w:lang w:eastAsia="en-US"/>
        </w:rPr>
        <w:t xml:space="preserve"> sobre contratações e aquisições em períodos de emergência em formatos de dados abertos, garantindo sua acessibilidade para diferentes tipos de público;</w:t>
      </w:r>
    </w:p>
    <w:p w14:paraId="7A163453" w14:textId="77777777" w:rsidR="001565A8" w:rsidRPr="00DF4253" w:rsidRDefault="001565A8" w:rsidP="6D647178">
      <w:pPr>
        <w:pStyle w:val="Standard"/>
        <w:spacing w:line="360" w:lineRule="auto"/>
        <w:ind w:left="360" w:right="27"/>
        <w:jc w:val="both"/>
        <w:rPr>
          <w:rFonts w:ascii="Arial" w:hAnsi="Arial" w:cs="Arial"/>
          <w:kern w:val="0"/>
          <w:lang w:eastAsia="en-US"/>
        </w:rPr>
      </w:pPr>
    </w:p>
    <w:p w14:paraId="40E25F5F" w14:textId="015CC59D" w:rsidR="001565A8" w:rsidRPr="008F40C3" w:rsidRDefault="789625D1" w:rsidP="6D647178">
      <w:pPr>
        <w:pStyle w:val="Standard"/>
        <w:spacing w:line="360" w:lineRule="auto"/>
        <w:ind w:left="360" w:right="27"/>
        <w:jc w:val="both"/>
        <w:rPr>
          <w:rFonts w:ascii="Arial" w:hAnsi="Arial" w:cs="Arial"/>
          <w:kern w:val="0"/>
          <w:lang w:eastAsia="en-US"/>
        </w:rPr>
      </w:pPr>
      <w:r w:rsidRPr="00DF4253">
        <w:rPr>
          <w:rFonts w:ascii="Arial" w:hAnsi="Arial" w:cs="Arial"/>
          <w:kern w:val="0"/>
          <w:lang w:eastAsia="en-US"/>
        </w:rPr>
        <w:t>d</w:t>
      </w:r>
      <w:r w:rsidR="001565A8" w:rsidRPr="00DF4253">
        <w:rPr>
          <w:rFonts w:ascii="Arial" w:hAnsi="Arial" w:cs="Arial"/>
          <w:kern w:val="0"/>
          <w:lang w:eastAsia="en-US"/>
        </w:rPr>
        <w:t xml:space="preserve">) </w:t>
      </w:r>
      <w:bookmarkStart w:id="1" w:name="_Hlk42004556"/>
      <w:r w:rsidR="001565A8" w:rsidRPr="00DF4253">
        <w:rPr>
          <w:rFonts w:ascii="Arial" w:hAnsi="Arial" w:cs="Arial"/>
          <w:kern w:val="0"/>
          <w:lang w:eastAsia="en-US"/>
        </w:rPr>
        <w:t>publicação</w:t>
      </w:r>
      <w:r w:rsidR="00391040" w:rsidRPr="00DF4253">
        <w:rPr>
          <w:rFonts w:ascii="Arial" w:hAnsi="Arial" w:cs="Arial"/>
          <w:kern w:val="0"/>
          <w:lang w:eastAsia="en-US"/>
        </w:rPr>
        <w:t>, a se iniciar</w:t>
      </w:r>
      <w:r w:rsidR="00391040" w:rsidRPr="008F40C3">
        <w:rPr>
          <w:rFonts w:ascii="Arial" w:hAnsi="Arial" w:cs="Arial"/>
          <w:kern w:val="0"/>
          <w:lang w:eastAsia="en-US"/>
        </w:rPr>
        <w:t xml:space="preserve"> em prazo não superior a </w:t>
      </w:r>
      <w:r w:rsidR="766581D8" w:rsidRPr="00941DD5">
        <w:rPr>
          <w:rFonts w:ascii="Arial" w:hAnsi="Arial" w:cs="Arial"/>
          <w:color w:val="FF0000"/>
          <w:kern w:val="0"/>
          <w:highlight w:val="yellow"/>
          <w:lang w:eastAsia="en-US"/>
        </w:rPr>
        <w:t xml:space="preserve">xx </w:t>
      </w:r>
      <w:r w:rsidR="00391040" w:rsidRPr="00941DD5">
        <w:rPr>
          <w:rFonts w:ascii="Arial" w:hAnsi="Arial" w:cs="Arial"/>
          <w:color w:val="FF0000"/>
          <w:kern w:val="0"/>
          <w:highlight w:val="yellow"/>
          <w:lang w:eastAsia="en-US"/>
        </w:rPr>
        <w:t>dias</w:t>
      </w:r>
      <w:r w:rsidR="2688EA79" w:rsidRPr="00941DD5">
        <w:rPr>
          <w:rFonts w:ascii="Arial" w:hAnsi="Arial" w:cs="Arial"/>
          <w:color w:val="FF0000"/>
          <w:kern w:val="0"/>
          <w:highlight w:val="yellow"/>
          <w:lang w:eastAsia="en-US"/>
        </w:rPr>
        <w:t xml:space="preserve"> útei</w:t>
      </w:r>
      <w:r w:rsidR="3CCAD988" w:rsidRPr="00941DD5">
        <w:rPr>
          <w:rFonts w:ascii="Arial" w:hAnsi="Arial" w:cs="Arial"/>
          <w:color w:val="FF0000"/>
          <w:kern w:val="0"/>
          <w:highlight w:val="yellow"/>
          <w:lang w:eastAsia="en-US"/>
        </w:rPr>
        <w:t>s,</w:t>
      </w:r>
      <w:r w:rsidR="001565A8" w:rsidRPr="008F40C3">
        <w:rPr>
          <w:rFonts w:ascii="Arial" w:hAnsi="Arial" w:cs="Arial"/>
          <w:kern w:val="0"/>
          <w:lang w:eastAsia="en-US"/>
        </w:rPr>
        <w:t xml:space="preserve"> das informações geradas em matéria de contratações e aquisições públicas fundadas na Lei 13.979/2020</w:t>
      </w:r>
      <w:r w:rsidR="00391040" w:rsidRPr="008F40C3">
        <w:rPr>
          <w:rFonts w:ascii="Arial" w:hAnsi="Arial" w:cs="Arial"/>
          <w:kern w:val="0"/>
          <w:lang w:eastAsia="en-US"/>
        </w:rPr>
        <w:t>, devendo essa publicação ser realizada</w:t>
      </w:r>
      <w:r w:rsidR="001565A8" w:rsidRPr="008F40C3">
        <w:rPr>
          <w:rFonts w:ascii="Arial" w:hAnsi="Arial" w:cs="Arial"/>
          <w:kern w:val="0"/>
          <w:lang w:eastAsia="en-US"/>
        </w:rPr>
        <w:t xml:space="preserve"> em </w:t>
      </w:r>
      <w:r w:rsidR="001565A8" w:rsidRPr="008F40C3">
        <w:rPr>
          <w:rFonts w:ascii="Arial" w:hAnsi="Arial" w:cs="Arial"/>
          <w:b/>
          <w:bCs/>
          <w:kern w:val="0"/>
          <w:lang w:eastAsia="en-US"/>
        </w:rPr>
        <w:t xml:space="preserve">sítio oficial específico e exclusivo </w:t>
      </w:r>
      <w:r w:rsidR="001565A8" w:rsidRPr="008F40C3">
        <w:rPr>
          <w:rFonts w:ascii="Arial" w:hAnsi="Arial" w:cs="Arial"/>
          <w:kern w:val="0"/>
          <w:lang w:eastAsia="en-US"/>
        </w:rPr>
        <w:t xml:space="preserve">(seção especial da página </w:t>
      </w:r>
      <w:r w:rsidR="001565A8" w:rsidRPr="6D647178">
        <w:rPr>
          <w:rFonts w:ascii="Arial" w:hAnsi="Arial" w:cs="Arial"/>
          <w:i/>
          <w:iCs/>
          <w:kern w:val="0"/>
          <w:lang w:eastAsia="en-US"/>
        </w:rPr>
        <w:t>web</w:t>
      </w:r>
      <w:r w:rsidR="001565A8" w:rsidRPr="008F40C3">
        <w:rPr>
          <w:rFonts w:ascii="Arial" w:hAnsi="Arial" w:cs="Arial"/>
          <w:kern w:val="0"/>
          <w:lang w:eastAsia="en-US"/>
        </w:rPr>
        <w:t xml:space="preserve"> governamental, página </w:t>
      </w:r>
      <w:r w:rsidR="001565A8" w:rsidRPr="6D647178">
        <w:rPr>
          <w:rFonts w:ascii="Arial" w:hAnsi="Arial" w:cs="Arial"/>
          <w:i/>
          <w:iCs/>
          <w:kern w:val="0"/>
          <w:lang w:eastAsia="en-US"/>
        </w:rPr>
        <w:t>web</w:t>
      </w:r>
      <w:r w:rsidR="001565A8" w:rsidRPr="008F40C3">
        <w:rPr>
          <w:rFonts w:ascii="Arial" w:hAnsi="Arial" w:cs="Arial"/>
          <w:kern w:val="0"/>
          <w:lang w:eastAsia="en-US"/>
        </w:rPr>
        <w:t xml:space="preserve"> exclusiva ou outro), garantindo a padronização de seu conteúdo, explicitando-se, dentre outros, o nome do contratado, o número da sua inscrição da Receita Federal do Brasil, o prazo contratual e o respectivo processo de contratação ou aquisiçã</w:t>
      </w:r>
      <w:r w:rsidR="324FB4EC" w:rsidRPr="008F40C3">
        <w:rPr>
          <w:rFonts w:ascii="Arial" w:hAnsi="Arial" w:cs="Arial"/>
          <w:kern w:val="0"/>
          <w:lang w:eastAsia="en-US"/>
        </w:rPr>
        <w:t xml:space="preserve">o; </w:t>
      </w:r>
    </w:p>
    <w:p w14:paraId="477185DF"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692984FD" w14:textId="486E4A5C" w:rsidR="001565A8" w:rsidRPr="008F40C3" w:rsidRDefault="0A666D6E"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lastRenderedPageBreak/>
        <w:t>e</w:t>
      </w:r>
      <w:r w:rsidR="001565A8" w:rsidRPr="6D647178">
        <w:rPr>
          <w:rFonts w:ascii="Arial" w:hAnsi="Arial" w:cs="Arial"/>
          <w:lang w:eastAsia="en-US"/>
        </w:rPr>
        <w:t>) além das informações básicas mencionadas na alínea anterior</w:t>
      </w:r>
      <w:r w:rsidR="00391040" w:rsidRPr="6D647178">
        <w:rPr>
          <w:rFonts w:ascii="Arial" w:hAnsi="Arial" w:cs="Arial"/>
          <w:lang w:eastAsia="en-US"/>
        </w:rPr>
        <w:t>,</w:t>
      </w:r>
      <w:r w:rsidR="001565A8" w:rsidRPr="6D647178">
        <w:rPr>
          <w:rFonts w:ascii="Arial" w:hAnsi="Arial" w:cs="Arial"/>
          <w:lang w:eastAsia="en-US"/>
        </w:rPr>
        <w:t xml:space="preserve"> </w:t>
      </w:r>
      <w:r w:rsidR="00C4489A" w:rsidRPr="6D647178">
        <w:rPr>
          <w:rFonts w:ascii="Arial" w:hAnsi="Arial" w:cs="Arial"/>
          <w:lang w:eastAsia="en-US"/>
        </w:rPr>
        <w:t xml:space="preserve">que deverão ser publicadas em tempo real, </w:t>
      </w:r>
      <w:r w:rsidR="00391040" w:rsidRPr="6D647178">
        <w:rPr>
          <w:rFonts w:ascii="Arial" w:hAnsi="Arial" w:cs="Arial"/>
          <w:lang w:eastAsia="en-US"/>
        </w:rPr>
        <w:t xml:space="preserve">que sejam </w:t>
      </w:r>
      <w:r w:rsidR="00C4489A" w:rsidRPr="6D647178">
        <w:rPr>
          <w:rFonts w:ascii="Arial" w:hAnsi="Arial" w:cs="Arial"/>
          <w:lang w:eastAsia="en-US"/>
        </w:rPr>
        <w:t xml:space="preserve">prontamente </w:t>
      </w:r>
      <w:r w:rsidR="00391040" w:rsidRPr="6D647178">
        <w:rPr>
          <w:rFonts w:ascii="Arial" w:hAnsi="Arial" w:cs="Arial"/>
          <w:lang w:eastAsia="en-US"/>
        </w:rPr>
        <w:t xml:space="preserve">anexados </w:t>
      </w:r>
      <w:r w:rsidR="001565A8" w:rsidRPr="6D647178">
        <w:rPr>
          <w:rFonts w:ascii="Arial" w:hAnsi="Arial" w:cs="Arial"/>
          <w:lang w:eastAsia="en-US"/>
        </w:rPr>
        <w:t xml:space="preserve">no mesmo ambiente eletrônico, dentre outros, os seguintes </w:t>
      </w:r>
      <w:r w:rsidR="001565A8" w:rsidRPr="6D647178">
        <w:rPr>
          <w:rFonts w:ascii="Arial" w:hAnsi="Arial" w:cs="Arial"/>
          <w:b/>
          <w:bCs/>
          <w:sz w:val="22"/>
          <w:szCs w:val="22"/>
          <w:lang w:eastAsia="en-US"/>
        </w:rPr>
        <w:t>documentos</w:t>
      </w:r>
      <w:r w:rsidR="001565A8" w:rsidRPr="6D647178">
        <w:rPr>
          <w:rFonts w:ascii="Arial" w:hAnsi="Arial" w:cs="Arial"/>
          <w:lang w:eastAsia="en-US"/>
        </w:rPr>
        <w:t>:</w:t>
      </w:r>
    </w:p>
    <w:p w14:paraId="78DFDAF6"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3EE015A4"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1) termo de referência simplificado ou projeto básico simplificado contendo todas as especificações contidas no Art. 4º-E, § 1º, da Lei 13.979/2020;</w:t>
      </w:r>
    </w:p>
    <w:p w14:paraId="35AAFB3D"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7B7511A6"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008F40C3">
        <w:rPr>
          <w:rFonts w:ascii="Arial" w:hAnsi="Arial" w:cs="Arial"/>
          <w:kern w:val="0"/>
          <w:lang w:eastAsia="en-US"/>
        </w:rPr>
        <w:t xml:space="preserve">2) </w:t>
      </w:r>
      <w:r w:rsidRPr="008F40C3">
        <w:rPr>
          <w:rFonts w:ascii="Arial" w:hAnsi="Arial" w:cs="Arial"/>
          <w:lang w:eastAsia="en-US"/>
        </w:rPr>
        <w:t>propostas de contratação apresentadas e justificativa da escolha do contratado;</w:t>
      </w:r>
    </w:p>
    <w:p w14:paraId="5532F9E0"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1FA8E7DC"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3) de identificação do contratado e demonstrativos de sua regularidade fiscal, capacidade técnica e econômica, excetuadas as hipóteses legais taxativas de dispensa desses documentos, constantes da Lei 13.979/2020;</w:t>
      </w:r>
    </w:p>
    <w:p w14:paraId="2DD3A276"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2B0C63E8"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4) instrumento de contrato ou congêneres, com indicação expressa de servidor gestor e/ou fiscal de sua execução;</w:t>
      </w:r>
    </w:p>
    <w:p w14:paraId="1561895C"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59DF4C3D" w14:textId="118708F0" w:rsidR="001565A8" w:rsidRPr="008F40C3" w:rsidRDefault="2AF6A793"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f</w:t>
      </w:r>
      <w:r w:rsidR="001565A8" w:rsidRPr="6D647178">
        <w:rPr>
          <w:rFonts w:ascii="Arial" w:hAnsi="Arial" w:cs="Arial"/>
          <w:lang w:eastAsia="en-US"/>
        </w:rPr>
        <w:t xml:space="preserve">) </w:t>
      </w:r>
      <w:r w:rsidR="00391040" w:rsidRPr="6D647178">
        <w:rPr>
          <w:rFonts w:ascii="Arial" w:hAnsi="Arial" w:cs="Arial"/>
          <w:lang w:eastAsia="en-US"/>
        </w:rPr>
        <w:t>n</w:t>
      </w:r>
      <w:r w:rsidR="001565A8" w:rsidRPr="6D647178">
        <w:rPr>
          <w:rFonts w:ascii="Arial" w:hAnsi="Arial" w:cs="Arial"/>
          <w:lang w:eastAsia="en-US"/>
        </w:rPr>
        <w:t xml:space="preserve">o que se refere à publicidade dos atos de </w:t>
      </w:r>
      <w:r w:rsidR="001565A8" w:rsidRPr="6D647178">
        <w:rPr>
          <w:rFonts w:ascii="Arial" w:hAnsi="Arial" w:cs="Arial"/>
          <w:b/>
          <w:bCs/>
          <w:lang w:eastAsia="en-US"/>
        </w:rPr>
        <w:t>fiscalização da execução contratual</w:t>
      </w:r>
      <w:r w:rsidR="001565A8" w:rsidRPr="6D647178">
        <w:rPr>
          <w:rFonts w:ascii="Arial" w:hAnsi="Arial" w:cs="Arial"/>
          <w:lang w:eastAsia="en-US"/>
        </w:rPr>
        <w:t xml:space="preserve">, que sejam oportunamente anexados, no mesmo ambiente eletrônico, os processos de pagamento, contendo os seguintes documentos, dentre outros:  </w:t>
      </w:r>
    </w:p>
    <w:p w14:paraId="667C9461"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54552D5F"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1) Nota de Empenho;</w:t>
      </w:r>
    </w:p>
    <w:p w14:paraId="62BA7113"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2590BE65" w14:textId="77777777" w:rsidR="001565A8" w:rsidRPr="008F40C3" w:rsidRDefault="001565A8" w:rsidP="6D647178">
      <w:pPr>
        <w:pStyle w:val="Standard"/>
        <w:spacing w:line="360" w:lineRule="auto"/>
        <w:ind w:left="360" w:right="27"/>
        <w:jc w:val="both"/>
        <w:rPr>
          <w:rFonts w:ascii="Arial" w:hAnsi="Arial" w:cs="Arial"/>
          <w:kern w:val="0"/>
          <w:lang w:eastAsia="en-US"/>
        </w:rPr>
      </w:pPr>
      <w:r w:rsidRPr="6D647178">
        <w:rPr>
          <w:rFonts w:ascii="Arial" w:hAnsi="Arial" w:cs="Arial"/>
          <w:lang w:eastAsia="en-US"/>
        </w:rPr>
        <w:t>2) Nota de Liquidação, acompanhada dos documentos demonstrativos da efetiva execução do objeto contratado;</w:t>
      </w:r>
    </w:p>
    <w:p w14:paraId="3CE4F006" w14:textId="77777777" w:rsidR="001565A8" w:rsidRPr="008F40C3" w:rsidRDefault="001565A8" w:rsidP="6D647178">
      <w:pPr>
        <w:pStyle w:val="Standard"/>
        <w:spacing w:line="360" w:lineRule="auto"/>
        <w:ind w:left="360" w:right="27"/>
        <w:jc w:val="both"/>
        <w:rPr>
          <w:rFonts w:ascii="Arial" w:hAnsi="Arial" w:cs="Arial"/>
          <w:kern w:val="0"/>
          <w:lang w:eastAsia="en-US"/>
        </w:rPr>
      </w:pPr>
    </w:p>
    <w:p w14:paraId="35D8ED06" w14:textId="51B02CAC" w:rsidR="001565A8" w:rsidRPr="00FE1A77" w:rsidRDefault="001565A8" w:rsidP="6D647178">
      <w:pPr>
        <w:pStyle w:val="Standard"/>
        <w:spacing w:line="360" w:lineRule="auto"/>
        <w:ind w:left="360" w:right="27"/>
        <w:jc w:val="both"/>
        <w:rPr>
          <w:rFonts w:ascii="Arial" w:hAnsi="Arial" w:cs="Arial"/>
          <w:color w:val="4472C4"/>
          <w:lang w:eastAsia="en-US"/>
        </w:rPr>
      </w:pPr>
      <w:r w:rsidRPr="6D647178">
        <w:rPr>
          <w:rFonts w:ascii="Arial" w:hAnsi="Arial" w:cs="Arial"/>
          <w:lang w:eastAsia="en-US"/>
        </w:rPr>
        <w:t>3) Nota de Pagamento e demais documentos comprobatórios do efetivo pagamento</w:t>
      </w:r>
      <w:r w:rsidR="65FAFEEF" w:rsidRPr="6D647178">
        <w:rPr>
          <w:rFonts w:ascii="Arial" w:hAnsi="Arial" w:cs="Arial"/>
          <w:lang w:eastAsia="en-US"/>
        </w:rPr>
        <w:t>.</w:t>
      </w:r>
      <w:bookmarkEnd w:id="1"/>
    </w:p>
    <w:p w14:paraId="5E09C6A9" w14:textId="77777777" w:rsidR="00B25F2B" w:rsidRPr="00B25F2B" w:rsidRDefault="00B25F2B" w:rsidP="00391040">
      <w:pPr>
        <w:pStyle w:val="Standard"/>
        <w:spacing w:line="360" w:lineRule="auto"/>
        <w:ind w:right="27"/>
        <w:jc w:val="both"/>
        <w:rPr>
          <w:rFonts w:ascii="Arial" w:eastAsia="Arial" w:hAnsi="Arial" w:cs="Arial"/>
          <w:color w:val="000000"/>
        </w:rPr>
      </w:pPr>
    </w:p>
    <w:p w14:paraId="3817262D" w14:textId="77777777" w:rsidR="00B25F2B" w:rsidRPr="004721B8" w:rsidRDefault="00B25F2B" w:rsidP="00B25F2B">
      <w:pPr>
        <w:pStyle w:val="Standard"/>
        <w:spacing w:line="360" w:lineRule="auto"/>
        <w:ind w:right="27"/>
        <w:jc w:val="both"/>
        <w:rPr>
          <w:rFonts w:ascii="Arial" w:hAnsi="Arial" w:cs="Arial"/>
        </w:rPr>
      </w:pPr>
    </w:p>
    <w:p w14:paraId="4B2A17C2" w14:textId="15AEAD93" w:rsidR="00B25F2B" w:rsidRDefault="00C4489A" w:rsidP="6D647178">
      <w:pPr>
        <w:pStyle w:val="Standard"/>
        <w:spacing w:line="360" w:lineRule="auto"/>
        <w:ind w:right="28" w:firstLine="708"/>
        <w:jc w:val="both"/>
        <w:rPr>
          <w:rFonts w:ascii="Arial" w:eastAsia="Lucida Sans Unicode" w:hAnsi="Arial" w:cs="Arial"/>
          <w:lang w:eastAsia="en-US" w:bidi="en-US"/>
        </w:rPr>
      </w:pPr>
      <w:r w:rsidRPr="6D647178">
        <w:rPr>
          <w:rFonts w:ascii="Arial" w:hAnsi="Arial" w:cs="Arial"/>
        </w:rPr>
        <w:lastRenderedPageBreak/>
        <w:t>Por fim</w:t>
      </w:r>
      <w:r w:rsidR="4AA06B65" w:rsidRPr="6D647178">
        <w:rPr>
          <w:rFonts w:ascii="Arial" w:hAnsi="Arial" w:cs="Arial"/>
        </w:rPr>
        <w:t xml:space="preserve">, </w:t>
      </w:r>
      <w:r w:rsidR="56886932" w:rsidRPr="6D647178">
        <w:rPr>
          <w:rFonts w:ascii="Arial" w:hAnsi="Arial" w:cs="Arial"/>
        </w:rPr>
        <w:t xml:space="preserve">solicita-se </w:t>
      </w:r>
      <w:r w:rsidRPr="6D647178">
        <w:rPr>
          <w:rFonts w:ascii="Arial" w:hAnsi="Arial" w:cs="Arial"/>
          <w:b/>
          <w:bCs/>
          <w:u w:val="single"/>
        </w:rPr>
        <w:t xml:space="preserve">que sejam </w:t>
      </w:r>
      <w:r w:rsidR="00B25F2B" w:rsidRPr="6D647178">
        <w:rPr>
          <w:rFonts w:ascii="Arial" w:hAnsi="Arial" w:cs="Arial"/>
          <w:b/>
          <w:bCs/>
          <w:u w:val="single"/>
        </w:rPr>
        <w:t>encaminhadas a est</w:t>
      </w:r>
      <w:r w:rsidR="004B6218" w:rsidRPr="6D647178">
        <w:rPr>
          <w:rFonts w:ascii="Arial" w:hAnsi="Arial" w:cs="Arial"/>
          <w:b/>
          <w:bCs/>
          <w:u w:val="single"/>
        </w:rPr>
        <w:t>a Promotoria de Justiça</w:t>
      </w:r>
      <w:r w:rsidR="00B25F2B" w:rsidRPr="6D647178">
        <w:rPr>
          <w:rFonts w:ascii="Arial" w:hAnsi="Arial" w:cs="Arial"/>
          <w:b/>
          <w:bCs/>
          <w:u w:val="single"/>
        </w:rPr>
        <w:t xml:space="preserve">, </w:t>
      </w:r>
      <w:r w:rsidRPr="6D647178">
        <w:rPr>
          <w:rFonts w:ascii="Arial" w:hAnsi="Arial" w:cs="Arial"/>
          <w:b/>
          <w:bCs/>
          <w:u w:val="single"/>
        </w:rPr>
        <w:t>através do</w:t>
      </w:r>
      <w:r w:rsidR="00B25F2B" w:rsidRPr="6D647178">
        <w:rPr>
          <w:rFonts w:ascii="Arial" w:eastAsia="Lucida Sans Unicode" w:hAnsi="Arial" w:cs="Arial"/>
          <w:b/>
          <w:bCs/>
          <w:u w:val="single"/>
          <w:lang w:eastAsia="en-US" w:bidi="en-US"/>
        </w:rPr>
        <w:t xml:space="preserve"> endereço eletrônico </w:t>
      </w:r>
      <w:r w:rsidR="36327484" w:rsidRPr="6D647178">
        <w:rPr>
          <w:rFonts w:ascii="Arial" w:eastAsia="Lucida Sans Unicode" w:hAnsi="Arial" w:cs="Arial"/>
          <w:b/>
          <w:bCs/>
          <w:color w:val="FF0000"/>
          <w:u w:val="single"/>
          <w:lang w:eastAsia="en-US" w:bidi="en-US"/>
        </w:rPr>
        <w:t>xxxxx</w:t>
      </w:r>
      <w:r w:rsidR="00391040" w:rsidRPr="6D647178">
        <w:rPr>
          <w:rFonts w:ascii="Arial" w:eastAsia="Lucida Sans Unicode" w:hAnsi="Arial" w:cs="Arial"/>
          <w:b/>
          <w:bCs/>
          <w:u w:val="single"/>
          <w:lang w:eastAsia="en-US" w:bidi="en-US"/>
        </w:rPr>
        <w:t xml:space="preserve">, em prazo não superior a </w:t>
      </w:r>
      <w:r w:rsidR="2E782185" w:rsidRPr="6D647178">
        <w:rPr>
          <w:rFonts w:ascii="Arial" w:eastAsia="Lucida Sans Unicode" w:hAnsi="Arial" w:cs="Arial"/>
          <w:b/>
          <w:bCs/>
          <w:color w:val="FF0000"/>
          <w:highlight w:val="yellow"/>
          <w:u w:val="single"/>
          <w:lang w:eastAsia="en-US" w:bidi="en-US"/>
        </w:rPr>
        <w:t>xx</w:t>
      </w:r>
      <w:r w:rsidR="00391040" w:rsidRPr="6D647178">
        <w:rPr>
          <w:rFonts w:ascii="Arial" w:eastAsia="Lucida Sans Unicode" w:hAnsi="Arial" w:cs="Arial"/>
          <w:b/>
          <w:bCs/>
          <w:highlight w:val="yellow"/>
          <w:u w:val="single"/>
          <w:lang w:eastAsia="en-US" w:bidi="en-US"/>
        </w:rPr>
        <w:t xml:space="preserve"> dias úteis</w:t>
      </w:r>
      <w:r w:rsidR="00B25F2B" w:rsidRPr="6D647178">
        <w:rPr>
          <w:rFonts w:ascii="Arial" w:hAnsi="Arial" w:cs="Arial"/>
        </w:rPr>
        <w:t xml:space="preserve">, informações acerca das providências adotadas para o cumprimento da presente Recomendação, </w:t>
      </w:r>
      <w:r w:rsidR="00B25F2B" w:rsidRPr="6D647178">
        <w:rPr>
          <w:rFonts w:ascii="Arial" w:hAnsi="Arial" w:cs="Arial"/>
          <w:b/>
          <w:bCs/>
          <w:u w:val="single"/>
        </w:rPr>
        <w:t>com manifestação específica acerca de cada um dos itens da presente recomendação</w:t>
      </w:r>
      <w:r w:rsidR="00B25F2B" w:rsidRPr="6D647178">
        <w:rPr>
          <w:rFonts w:ascii="Arial" w:hAnsi="Arial" w:cs="Arial"/>
        </w:rPr>
        <w:t xml:space="preserve">, acompanhada dos documentos necessários à sua comprovação. </w:t>
      </w:r>
    </w:p>
    <w:p w14:paraId="1349FFAD" w14:textId="0AA11277" w:rsidR="00B25F2B" w:rsidRDefault="00B25F2B" w:rsidP="6D647178">
      <w:pPr>
        <w:pStyle w:val="Standard"/>
        <w:spacing w:line="360" w:lineRule="auto"/>
        <w:ind w:right="28" w:firstLine="708"/>
        <w:jc w:val="both"/>
        <w:rPr>
          <w:rFonts w:ascii="Arial" w:eastAsia="Lucida Sans Unicode" w:hAnsi="Arial" w:cs="Arial"/>
          <w:lang w:eastAsia="en-US" w:bidi="en-US"/>
        </w:rPr>
      </w:pPr>
    </w:p>
    <w:p w14:paraId="1FE16174" w14:textId="77777777" w:rsidR="00B25F2B" w:rsidRDefault="00B25F2B" w:rsidP="6D647178">
      <w:pPr>
        <w:pStyle w:val="Standard"/>
        <w:spacing w:line="360" w:lineRule="auto"/>
        <w:ind w:right="28" w:firstLine="708"/>
        <w:jc w:val="both"/>
        <w:rPr>
          <w:rFonts w:ascii="Arial" w:eastAsia="Lucida Sans Unicode" w:hAnsi="Arial" w:cs="Arial"/>
          <w:lang w:eastAsia="en-US" w:bidi="en-US"/>
        </w:rPr>
      </w:pPr>
      <w:r w:rsidRPr="004721B8">
        <w:rPr>
          <w:rFonts w:ascii="Arial" w:eastAsia="Lucida Sans Unicode" w:hAnsi="Arial" w:cs="Arial"/>
          <w:lang w:eastAsia="en-US" w:bidi="en-US"/>
        </w:rPr>
        <w:t>Publique-se. Notifique-se.</w:t>
      </w:r>
    </w:p>
    <w:p w14:paraId="2464626E" w14:textId="77777777" w:rsidR="00B25F2B" w:rsidRPr="004721B8" w:rsidRDefault="00B25F2B" w:rsidP="00B25F2B">
      <w:pPr>
        <w:pStyle w:val="Standard"/>
        <w:ind w:right="27"/>
        <w:jc w:val="both"/>
        <w:rPr>
          <w:rFonts w:ascii="Arial" w:eastAsia="Lucida Sans Unicode" w:hAnsi="Arial" w:cs="Arial"/>
          <w:lang w:eastAsia="en-US" w:bidi="en-US"/>
        </w:rPr>
      </w:pPr>
    </w:p>
    <w:p w14:paraId="3A20CDC8" w14:textId="77777777" w:rsidR="00B25F2B" w:rsidRPr="004721B8" w:rsidRDefault="00B25F2B" w:rsidP="00B25F2B">
      <w:pPr>
        <w:pStyle w:val="Standard"/>
        <w:ind w:right="27"/>
        <w:jc w:val="both"/>
        <w:rPr>
          <w:rFonts w:ascii="Arial" w:eastAsia="Lucida Sans Unicode" w:hAnsi="Arial" w:cs="Arial"/>
          <w:lang w:eastAsia="en-US" w:bidi="en-US"/>
        </w:rPr>
      </w:pPr>
    </w:p>
    <w:p w14:paraId="178357DC" w14:textId="135FB658" w:rsidR="00B25F2B" w:rsidRPr="004721B8" w:rsidRDefault="00E3749D" w:rsidP="00E3749D">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center"/>
        <w:rPr>
          <w:rFonts w:ascii="Arial" w:eastAsia="Lucida Sans Unicode" w:hAnsi="Arial" w:cs="Arial"/>
          <w:lang w:eastAsia="en-US" w:bidi="en-US"/>
        </w:rPr>
      </w:pPr>
      <w:r>
        <w:rPr>
          <w:rFonts w:ascii="Arial" w:eastAsia="Lucida Sans Unicode" w:hAnsi="Arial" w:cs="Arial"/>
          <w:color w:val="FF0000"/>
          <w:lang w:eastAsia="en-US" w:bidi="en-US"/>
        </w:rPr>
        <w:t>Município</w:t>
      </w:r>
      <w:r w:rsidR="00B25F2B" w:rsidRPr="004721B8">
        <w:rPr>
          <w:rFonts w:ascii="Arial" w:eastAsia="Lucida Sans Unicode" w:hAnsi="Arial" w:cs="Arial"/>
          <w:lang w:eastAsia="en-US" w:bidi="en-US"/>
        </w:rPr>
        <w:t xml:space="preserve">, </w:t>
      </w:r>
      <w:r w:rsidR="679B96A6" w:rsidRPr="004721B8">
        <w:rPr>
          <w:rFonts w:ascii="Arial" w:eastAsia="Lucida Sans Unicode" w:hAnsi="Arial" w:cs="Arial"/>
          <w:lang w:eastAsia="en-US" w:bidi="en-US"/>
        </w:rPr>
        <w:t>02</w:t>
      </w:r>
      <w:r w:rsidR="00C4489A" w:rsidRPr="00941DD5">
        <w:rPr>
          <w:rFonts w:ascii="Arial" w:eastAsia="Lucida Sans Unicode" w:hAnsi="Arial" w:cs="Arial"/>
          <w:color w:val="FF0000"/>
          <w:lang w:eastAsia="en-US" w:bidi="en-US"/>
        </w:rPr>
        <w:t xml:space="preserve"> </w:t>
      </w:r>
      <w:r w:rsidR="00B25F2B" w:rsidRPr="00CF759B">
        <w:rPr>
          <w:rFonts w:ascii="Arial" w:eastAsia="Lucida Sans Unicode" w:hAnsi="Arial" w:cs="Arial"/>
          <w:lang w:eastAsia="en-US" w:bidi="en-US"/>
        </w:rPr>
        <w:t>de</w:t>
      </w:r>
      <w:r w:rsidR="6A0D2D09" w:rsidRPr="00CF759B">
        <w:rPr>
          <w:rFonts w:ascii="Arial" w:eastAsia="Lucida Sans Unicode" w:hAnsi="Arial" w:cs="Arial"/>
          <w:lang w:eastAsia="en-US" w:bidi="en-US"/>
        </w:rPr>
        <w:t xml:space="preserve"> junho</w:t>
      </w:r>
      <w:r w:rsidR="6A0D2D09" w:rsidRPr="00941DD5">
        <w:rPr>
          <w:rFonts w:ascii="Arial" w:eastAsia="Lucida Sans Unicode" w:hAnsi="Arial" w:cs="Arial"/>
          <w:color w:val="FF0000"/>
          <w:lang w:eastAsia="en-US" w:bidi="en-US"/>
        </w:rPr>
        <w:t xml:space="preserve"> </w:t>
      </w:r>
      <w:r w:rsidR="00B25F2B" w:rsidRPr="004721B8">
        <w:rPr>
          <w:rFonts w:ascii="Arial" w:eastAsia="Lucida Sans Unicode" w:hAnsi="Arial" w:cs="Arial"/>
          <w:lang w:eastAsia="en-US" w:bidi="en-US"/>
        </w:rPr>
        <w:t>de 2020.</w:t>
      </w:r>
    </w:p>
    <w:p w14:paraId="24CE6379" w14:textId="77777777" w:rsidR="00B25F2B" w:rsidRPr="004721B8" w:rsidRDefault="00B25F2B" w:rsidP="00B25F2B">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both"/>
        <w:rPr>
          <w:rFonts w:ascii="Arial" w:eastAsia="Lucida Sans Unicode" w:hAnsi="Arial" w:cs="Arial"/>
          <w:lang w:eastAsia="en-US" w:bidi="en-US"/>
        </w:rPr>
      </w:pPr>
    </w:p>
    <w:p w14:paraId="1CCAD68D" w14:textId="77777777" w:rsidR="00C4489A" w:rsidRDefault="00C4489A" w:rsidP="00B25F2B">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both"/>
        <w:rPr>
          <w:rFonts w:ascii="Arial" w:eastAsia="Lucida Sans Unicode" w:hAnsi="Arial" w:cs="Arial"/>
          <w:lang w:eastAsia="en-US" w:bidi="en-US"/>
        </w:rPr>
      </w:pPr>
    </w:p>
    <w:p w14:paraId="2C959E8A" w14:textId="77777777" w:rsidR="00C4489A" w:rsidRDefault="00C4489A" w:rsidP="00B25F2B">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both"/>
        <w:rPr>
          <w:rFonts w:ascii="Arial" w:eastAsia="Lucida Sans Unicode" w:hAnsi="Arial" w:cs="Arial"/>
          <w:lang w:eastAsia="en-US" w:bidi="en-US"/>
        </w:rPr>
      </w:pPr>
    </w:p>
    <w:p w14:paraId="02EFDA45" w14:textId="1C3BBBB7" w:rsidR="00C4489A" w:rsidRPr="00941DD5" w:rsidRDefault="00C4489A" w:rsidP="00C4489A">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center"/>
        <w:rPr>
          <w:rFonts w:ascii="Arial" w:eastAsia="Lucida Sans Unicode" w:hAnsi="Arial" w:cs="Arial"/>
          <w:b/>
          <w:bCs/>
          <w:color w:val="FF0000"/>
          <w:lang w:eastAsia="en-US" w:bidi="en-US"/>
        </w:rPr>
      </w:pPr>
    </w:p>
    <w:p w14:paraId="46953D24" w14:textId="00C6F143" w:rsidR="00C4489A" w:rsidRDefault="00C4489A" w:rsidP="00C4489A">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center"/>
        <w:rPr>
          <w:rFonts w:ascii="Arial" w:eastAsia="Lucida Sans Unicode" w:hAnsi="Arial" w:cs="Arial"/>
          <w:b/>
          <w:bCs/>
          <w:lang w:eastAsia="en-US" w:bidi="en-US"/>
        </w:rPr>
      </w:pPr>
      <w:r w:rsidRPr="6D647178">
        <w:rPr>
          <w:rFonts w:ascii="Arial" w:eastAsia="Lucida Sans Unicode" w:hAnsi="Arial" w:cs="Arial"/>
          <w:b/>
          <w:bCs/>
          <w:lang w:eastAsia="en-US" w:bidi="en-US"/>
        </w:rPr>
        <w:t>Promotor</w:t>
      </w:r>
      <w:r w:rsidR="1A0DC2B3" w:rsidRPr="6D647178">
        <w:rPr>
          <w:rFonts w:ascii="Arial" w:eastAsia="Lucida Sans Unicode" w:hAnsi="Arial" w:cs="Arial"/>
          <w:b/>
          <w:bCs/>
          <w:lang w:eastAsia="en-US" w:bidi="en-US"/>
        </w:rPr>
        <w:t>(a)</w:t>
      </w:r>
      <w:r w:rsidRPr="6D647178">
        <w:rPr>
          <w:rFonts w:ascii="Arial" w:eastAsia="Lucida Sans Unicode" w:hAnsi="Arial" w:cs="Arial"/>
          <w:b/>
          <w:bCs/>
          <w:lang w:eastAsia="en-US" w:bidi="en-US"/>
        </w:rPr>
        <w:t xml:space="preserve"> de Justiça</w:t>
      </w:r>
    </w:p>
    <w:p w14:paraId="66577122" w14:textId="357BE280" w:rsidR="00AF6B4F" w:rsidRPr="00941DD5" w:rsidRDefault="00AF6B4F" w:rsidP="6D647178">
      <w:pPr>
        <w:pStyle w:val="Standard"/>
        <w:tabs>
          <w:tab w:val="left" w:pos="708"/>
          <w:tab w:val="left" w:pos="1416"/>
          <w:tab w:val="left" w:pos="2124"/>
          <w:tab w:val="left" w:pos="2832"/>
          <w:tab w:val="left" w:pos="3540"/>
          <w:tab w:val="left" w:pos="4248"/>
          <w:tab w:val="left" w:pos="4956"/>
          <w:tab w:val="left" w:pos="5664"/>
          <w:tab w:val="left" w:pos="6372"/>
          <w:tab w:val="left" w:pos="7440"/>
        </w:tabs>
        <w:ind w:right="27"/>
        <w:jc w:val="center"/>
        <w:rPr>
          <w:rFonts w:ascii="Arial" w:eastAsia="Lucida Sans Unicode" w:hAnsi="Arial" w:cs="Arial"/>
          <w:b/>
          <w:bCs/>
          <w:color w:val="FF0000"/>
          <w:lang w:eastAsia="en-US" w:bidi="en-US"/>
        </w:rPr>
      </w:pPr>
    </w:p>
    <w:sectPr w:rsidR="00AF6B4F" w:rsidRPr="00941DD5" w:rsidSect="002D0ABD">
      <w:headerReference w:type="default" r:id="rId12"/>
      <w:pgSz w:w="11906" w:h="16838"/>
      <w:pgMar w:top="1985" w:right="1134" w:bottom="1134" w:left="1985"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0ECC" w14:textId="77777777" w:rsidR="004F76EC" w:rsidRDefault="004F76EC">
      <w:r>
        <w:separator/>
      </w:r>
    </w:p>
  </w:endnote>
  <w:endnote w:type="continuationSeparator" w:id="0">
    <w:p w14:paraId="433A6803" w14:textId="77777777" w:rsidR="004F76EC" w:rsidRDefault="004F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charset w:val="00"/>
    <w:family w:val="roman"/>
    <w:pitch w:val="variable"/>
    <w:sig w:usb0="00000287" w:usb1="00000000" w:usb2="00000000" w:usb3="00000000" w:csb0="0000009F" w:csb1="00000000"/>
  </w:font>
  <w:font w:name="SimSun, 宋体">
    <w:charset w:val="00"/>
    <w:family w:val="auto"/>
    <w:pitch w:val="variable"/>
  </w:font>
  <w:font w:name="Times New Roman1">
    <w:charset w:val="00"/>
    <w:family w:val="auto"/>
    <w:pitch w:val="default"/>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9FF9D" w14:textId="77777777" w:rsidR="004F76EC" w:rsidRDefault="004F76EC">
      <w:r>
        <w:rPr>
          <w:color w:val="000000"/>
        </w:rPr>
        <w:separator/>
      </w:r>
    </w:p>
  </w:footnote>
  <w:footnote w:type="continuationSeparator" w:id="0">
    <w:p w14:paraId="187E17B9" w14:textId="77777777" w:rsidR="004F76EC" w:rsidRDefault="004F76EC">
      <w:r>
        <w:continuationSeparator/>
      </w:r>
    </w:p>
  </w:footnote>
  <w:footnote w:id="1">
    <w:p w14:paraId="1BA03A4F" w14:textId="77777777" w:rsidR="001565A8" w:rsidRPr="001565A8" w:rsidRDefault="001565A8" w:rsidP="001565A8">
      <w:pPr>
        <w:pStyle w:val="Textodenotaderodap"/>
        <w:jc w:val="both"/>
        <w:rPr>
          <w:rFonts w:ascii="Arial" w:hAnsi="Arial" w:cs="Arial"/>
        </w:rPr>
      </w:pPr>
      <w:r w:rsidRPr="001565A8">
        <w:rPr>
          <w:rStyle w:val="Refdenotaderodap"/>
          <w:rFonts w:ascii="Arial" w:hAnsi="Arial" w:cs="Arial"/>
        </w:rPr>
        <w:footnoteRef/>
      </w:r>
      <w:r w:rsidRPr="001565A8">
        <w:rPr>
          <w:rFonts w:ascii="Arial" w:hAnsi="Arial" w:cs="Arial"/>
        </w:rPr>
        <w:t xml:space="preserve"> Posição do Conselho Federal de Medicina sobre a pandemia de COVID-19: contexto, análise de medidas e recomendações. Disponível em </w:t>
      </w:r>
      <w:hyperlink r:id="rId1" w:history="1">
        <w:r w:rsidRPr="001565A8">
          <w:rPr>
            <w:rStyle w:val="Hyperlink"/>
            <w:rFonts w:ascii="Arial" w:hAnsi="Arial" w:cs="Arial"/>
            <w:color w:val="auto"/>
          </w:rPr>
          <w:t>http://portal.cfm.org.br/images/stories/pdf/covid-19_cfm.pdf</w:t>
        </w:r>
      </w:hyperlink>
      <w:r w:rsidRPr="001565A8">
        <w:rPr>
          <w:rFonts w:ascii="Arial" w:hAnsi="Arial" w:cs="Arial"/>
        </w:rPr>
        <w:t>. Acesso em 09/04/2020.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53FA" w14:textId="0B6CE796" w:rsidR="003E7637" w:rsidRPr="0035468C" w:rsidRDefault="008D5814" w:rsidP="0080766D">
    <w:pPr>
      <w:pStyle w:val="Standard"/>
      <w:jc w:val="right"/>
      <w:rPr>
        <w:rFonts w:ascii="Segoe UI" w:hAnsi="Segoe UI" w:cs="Segoe UI"/>
        <w:sz w:val="18"/>
        <w:szCs w:val="18"/>
      </w:rPr>
    </w:pPr>
    <w:r>
      <w:rPr>
        <w:noProof/>
        <w:lang w:eastAsia="pt-BR"/>
      </w:rPr>
      <w:drawing>
        <wp:anchor distT="0" distB="0" distL="114300" distR="114300" simplePos="0" relativeHeight="251657728" behindDoc="0" locked="0" layoutInCell="1" allowOverlap="1" wp14:anchorId="35731959" wp14:editId="326FF092">
          <wp:simplePos x="0" y="0"/>
          <wp:positionH relativeFrom="margin">
            <wp:posOffset>-43815</wp:posOffset>
          </wp:positionH>
          <wp:positionV relativeFrom="paragraph">
            <wp:posOffset>142240</wp:posOffset>
          </wp:positionV>
          <wp:extent cx="2165350" cy="596265"/>
          <wp:effectExtent l="0" t="0" r="635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596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D23"/>
    <w:multiLevelType w:val="multilevel"/>
    <w:tmpl w:val="365CD6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nsid w:val="3B25446D"/>
    <w:multiLevelType w:val="hybridMultilevel"/>
    <w:tmpl w:val="5C5212C2"/>
    <w:lvl w:ilvl="0" w:tplc="2872F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BAE533A"/>
    <w:multiLevelType w:val="hybridMultilevel"/>
    <w:tmpl w:val="2C0E833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D"/>
    <w:rsid w:val="00004170"/>
    <w:rsid w:val="001038AD"/>
    <w:rsid w:val="00122FA2"/>
    <w:rsid w:val="001500FF"/>
    <w:rsid w:val="001565A8"/>
    <w:rsid w:val="002715B1"/>
    <w:rsid w:val="002D0ABD"/>
    <w:rsid w:val="0033409B"/>
    <w:rsid w:val="0035468C"/>
    <w:rsid w:val="00391040"/>
    <w:rsid w:val="003E7637"/>
    <w:rsid w:val="003F4682"/>
    <w:rsid w:val="00452199"/>
    <w:rsid w:val="004571B9"/>
    <w:rsid w:val="004B6218"/>
    <w:rsid w:val="004F76EC"/>
    <w:rsid w:val="00532EB7"/>
    <w:rsid w:val="005A6C24"/>
    <w:rsid w:val="005C7CA5"/>
    <w:rsid w:val="00610C9E"/>
    <w:rsid w:val="00632D4E"/>
    <w:rsid w:val="0066430C"/>
    <w:rsid w:val="007136ED"/>
    <w:rsid w:val="00730A2D"/>
    <w:rsid w:val="00777729"/>
    <w:rsid w:val="0080766D"/>
    <w:rsid w:val="008459F4"/>
    <w:rsid w:val="008C6E6C"/>
    <w:rsid w:val="008D5814"/>
    <w:rsid w:val="008F40C3"/>
    <w:rsid w:val="009163E5"/>
    <w:rsid w:val="00941DD5"/>
    <w:rsid w:val="0094EFF9"/>
    <w:rsid w:val="009E0B56"/>
    <w:rsid w:val="00A26493"/>
    <w:rsid w:val="00A84F64"/>
    <w:rsid w:val="00AC0135"/>
    <w:rsid w:val="00AF6B4F"/>
    <w:rsid w:val="00B25F2B"/>
    <w:rsid w:val="00B271EC"/>
    <w:rsid w:val="00B36F7E"/>
    <w:rsid w:val="00BE1681"/>
    <w:rsid w:val="00C4489A"/>
    <w:rsid w:val="00C64DE5"/>
    <w:rsid w:val="00CF759B"/>
    <w:rsid w:val="00D06A1A"/>
    <w:rsid w:val="00DA1ED2"/>
    <w:rsid w:val="00DA6C70"/>
    <w:rsid w:val="00DE76C0"/>
    <w:rsid w:val="00DF4253"/>
    <w:rsid w:val="00E07E7A"/>
    <w:rsid w:val="00E3749D"/>
    <w:rsid w:val="00EB2D78"/>
    <w:rsid w:val="00F44595"/>
    <w:rsid w:val="00F7266E"/>
    <w:rsid w:val="00F77E6C"/>
    <w:rsid w:val="00F94CFE"/>
    <w:rsid w:val="00FA5690"/>
    <w:rsid w:val="00FC6A76"/>
    <w:rsid w:val="00FE1A77"/>
    <w:rsid w:val="01A9BE5B"/>
    <w:rsid w:val="0204611F"/>
    <w:rsid w:val="0229157A"/>
    <w:rsid w:val="04CC7CBE"/>
    <w:rsid w:val="0505EC22"/>
    <w:rsid w:val="0A666D6E"/>
    <w:rsid w:val="0AF77637"/>
    <w:rsid w:val="10A2FD51"/>
    <w:rsid w:val="127629F2"/>
    <w:rsid w:val="13AF9D64"/>
    <w:rsid w:val="146E00CB"/>
    <w:rsid w:val="15F70BEB"/>
    <w:rsid w:val="1A0DC2B3"/>
    <w:rsid w:val="1DFF3116"/>
    <w:rsid w:val="23FDEA4A"/>
    <w:rsid w:val="2688EA79"/>
    <w:rsid w:val="280E2857"/>
    <w:rsid w:val="2844D27E"/>
    <w:rsid w:val="29A21EA4"/>
    <w:rsid w:val="2A302536"/>
    <w:rsid w:val="2AF6A793"/>
    <w:rsid w:val="2CCAF681"/>
    <w:rsid w:val="2E782185"/>
    <w:rsid w:val="324FB4EC"/>
    <w:rsid w:val="3315F157"/>
    <w:rsid w:val="332D7424"/>
    <w:rsid w:val="36327484"/>
    <w:rsid w:val="3CCAD988"/>
    <w:rsid w:val="44117F95"/>
    <w:rsid w:val="447D00ED"/>
    <w:rsid w:val="4AA06B65"/>
    <w:rsid w:val="4F41F1A0"/>
    <w:rsid w:val="56886932"/>
    <w:rsid w:val="57790E29"/>
    <w:rsid w:val="5ADA560A"/>
    <w:rsid w:val="60362594"/>
    <w:rsid w:val="60F55081"/>
    <w:rsid w:val="65FAFEEF"/>
    <w:rsid w:val="679B96A6"/>
    <w:rsid w:val="67A42D11"/>
    <w:rsid w:val="6A0D2D09"/>
    <w:rsid w:val="6D647178"/>
    <w:rsid w:val="6DFECCD6"/>
    <w:rsid w:val="6F5F7AC4"/>
    <w:rsid w:val="766581D8"/>
    <w:rsid w:val="779913F6"/>
    <w:rsid w:val="789625D1"/>
    <w:rsid w:val="7A1551C4"/>
    <w:rsid w:val="7BAA3A79"/>
    <w:rsid w:val="7BCD274C"/>
    <w:rsid w:val="7F823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Ttulo1">
    <w:name w:val="heading 1"/>
    <w:basedOn w:val="Standard"/>
    <w:next w:val="Standard"/>
    <w:uiPriority w:val="9"/>
    <w:qFormat/>
    <w:pPr>
      <w:keepNext/>
      <w:jc w:val="both"/>
      <w:outlineLvl w:val="0"/>
    </w:pPr>
    <w:rPr>
      <w:rFonts w:ascii="Copperplate Gothic Light" w:eastAsia="Copperplate Gothic Light" w:hAnsi="Copperplate Gothic Light" w:cs="Copperplate Gothic Light"/>
      <w:i/>
      <w:iCs/>
      <w:sz w:val="26"/>
      <w:szCs w:val="32"/>
    </w:rPr>
  </w:style>
  <w:style w:type="paragraph" w:styleId="Ttulo2">
    <w:name w:val="heading 2"/>
    <w:basedOn w:val="Standard"/>
    <w:next w:val="Standard"/>
    <w:uiPriority w:val="9"/>
    <w:semiHidden/>
    <w:unhideWhenUsed/>
    <w:qFormat/>
    <w:pPr>
      <w:keepNext/>
      <w:jc w:val="both"/>
      <w:outlineLvl w:val="1"/>
    </w:pPr>
    <w:rPr>
      <w:rFonts w:ascii="Georgia" w:eastAsia="Georgia" w:hAnsi="Georgia" w:cs="Georgia"/>
      <w:sz w:val="32"/>
    </w:rPr>
  </w:style>
  <w:style w:type="paragraph" w:styleId="Ttulo3">
    <w:name w:val="heading 3"/>
    <w:basedOn w:val="Standard"/>
    <w:next w:val="Standard"/>
    <w:uiPriority w:val="9"/>
    <w:semiHidden/>
    <w:unhideWhenUsed/>
    <w:qFormat/>
    <w:pPr>
      <w:keepNext/>
      <w:spacing w:before="240" w:after="60"/>
      <w:outlineLvl w:val="2"/>
    </w:pPr>
    <w:rPr>
      <w:rFonts w:ascii="Arial" w:eastAsia="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1">
    <w:name w:val="Legenda1"/>
    <w:basedOn w:val="Standard"/>
    <w:pPr>
      <w:suppressLineNumbers/>
      <w:spacing w:before="120" w:after="120"/>
    </w:pPr>
    <w:rPr>
      <w:rFonts w:cs="Tahoma"/>
      <w:i/>
      <w:iCs/>
    </w:rPr>
  </w:style>
  <w:style w:type="paragraph" w:customStyle="1" w:styleId="Corpodetexto21">
    <w:name w:val="Corpo de texto 21"/>
    <w:basedOn w:val="Standard"/>
    <w:pPr>
      <w:jc w:val="both"/>
    </w:pPr>
    <w:rPr>
      <w:rFonts w:ascii="Garamond" w:eastAsia="Garamond" w:hAnsi="Garamond" w:cs="Garamond"/>
      <w:sz w:val="32"/>
      <w:szCs w:val="20"/>
    </w:rPr>
  </w:style>
  <w:style w:type="paragraph" w:customStyle="1" w:styleId="Corpodetexto31">
    <w:name w:val="Corpo de texto 31"/>
    <w:basedOn w:val="Standard"/>
    <w:pPr>
      <w:spacing w:after="120"/>
    </w:pPr>
    <w:rPr>
      <w:sz w:val="16"/>
      <w:szCs w:val="16"/>
    </w:rPr>
  </w:style>
  <w:style w:type="paragraph" w:customStyle="1" w:styleId="Textbodyindent">
    <w:name w:val="Text body indent"/>
    <w:basedOn w:val="Standard"/>
    <w:pPr>
      <w:spacing w:after="120"/>
      <w:ind w:left="283"/>
    </w:pPr>
    <w:rPr>
      <w:sz w:val="20"/>
      <w:szCs w:val="20"/>
    </w:rPr>
  </w:style>
  <w:style w:type="paragraph" w:customStyle="1" w:styleId="Standarduser">
    <w:name w:val="Standard (user)"/>
    <w:pPr>
      <w:widowControl w:val="0"/>
      <w:suppressAutoHyphens/>
      <w:autoSpaceDN w:val="0"/>
      <w:textAlignment w:val="baseline"/>
    </w:pPr>
    <w:rPr>
      <w:rFonts w:ascii="Times New Roman" w:eastAsia="SimSun, 宋体" w:hAnsi="Times New Roman"/>
      <w:kern w:val="3"/>
      <w:sz w:val="24"/>
      <w:szCs w:val="24"/>
      <w:lang w:eastAsia="zh-CN" w:bidi="hi-IN"/>
    </w:rPr>
  </w:style>
  <w:style w:type="paragraph" w:customStyle="1" w:styleId="Footnote">
    <w:name w:val="Footnote"/>
    <w:basedOn w:val="Standard"/>
    <w:pPr>
      <w:widowControl w:val="0"/>
      <w:suppressLineNumbers/>
      <w:ind w:left="283" w:hanging="283"/>
    </w:pPr>
    <w:rPr>
      <w:rFonts w:eastAsia="Lucida Sans Unicode"/>
      <w:sz w:val="20"/>
      <w:szCs w:val="20"/>
    </w:rPr>
  </w:style>
  <w:style w:type="paragraph" w:styleId="Cabealho">
    <w:name w:val="header"/>
    <w:basedOn w:val="Standard"/>
    <w:uiPriority w:val="99"/>
    <w:pPr>
      <w:tabs>
        <w:tab w:val="center" w:pos="4252"/>
        <w:tab w:val="right" w:pos="8504"/>
      </w:tabs>
    </w:pPr>
  </w:style>
  <w:style w:type="paragraph" w:styleId="Rodap">
    <w:name w:val="footer"/>
    <w:basedOn w:val="Standard"/>
    <w:pPr>
      <w:tabs>
        <w:tab w:val="center" w:pos="4252"/>
        <w:tab w:val="right" w:pos="8504"/>
      </w:tabs>
    </w:pPr>
  </w:style>
  <w:style w:type="paragraph" w:customStyle="1" w:styleId="P14">
    <w:name w:val="P14"/>
    <w:basedOn w:val="Standard"/>
    <w:pPr>
      <w:widowControl w:val="0"/>
    </w:pPr>
  </w:style>
  <w:style w:type="paragraph" w:customStyle="1" w:styleId="P5">
    <w:name w:val="P5"/>
    <w:basedOn w:val="Standard"/>
    <w:pPr>
      <w:widowControl w:val="0"/>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Garamond" w:eastAsia="Garamond" w:hAnsi="Garamond" w:cs="Garamond"/>
      <w:sz w:val="32"/>
    </w:rPr>
  </w:style>
  <w:style w:type="character" w:customStyle="1" w:styleId="WW8Num3z0">
    <w:name w:val="WW8Num3z0"/>
    <w:rPr>
      <w:rFonts w:ascii="Garamond" w:eastAsia="Garamond" w:hAnsi="Garamond" w:cs="Garamond"/>
      <w:sz w:val="32"/>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WW-CaracteresdeNotadeRodap1">
    <w:name w:val="WW-Caracteres de Nota de Rodapé1"/>
  </w:style>
  <w:style w:type="character" w:customStyle="1" w:styleId="FootnoteSymbol">
    <w:name w:val="Footnote Symbol"/>
    <w:rPr>
      <w:position w:val="0"/>
      <w:vertAlign w:val="superscript"/>
    </w:rPr>
  </w:style>
  <w:style w:type="character" w:customStyle="1" w:styleId="TextodenotaderodapChar">
    <w:name w:val="Texto de nota de rodapé Char"/>
    <w:link w:val="Textodenotaderodap"/>
    <w:uiPriority w:val="99"/>
    <w:rPr>
      <w:rFonts w:eastAsia="Lucida Sans Unicode"/>
      <w:lang w:eastAsia="zh-CN"/>
    </w:rPr>
  </w:style>
  <w:style w:type="character" w:customStyle="1" w:styleId="CabealhoChar">
    <w:name w:val="Cabeçalho Char"/>
    <w:uiPriority w:val="99"/>
    <w:rPr>
      <w:sz w:val="24"/>
      <w:szCs w:val="24"/>
    </w:rPr>
  </w:style>
  <w:style w:type="character" w:customStyle="1" w:styleId="RodapChar">
    <w:name w:val="Rodapé Char"/>
    <w:rPr>
      <w:sz w:val="24"/>
      <w:szCs w:val="24"/>
    </w:rPr>
  </w:style>
  <w:style w:type="character" w:customStyle="1" w:styleId="T30">
    <w:name w:val="T30"/>
    <w:rPr>
      <w:rFonts w:ascii="Times New Roman1" w:eastAsia="Times New Roman" w:hAnsi="Times New Roman1" w:cs="Times New Roman"/>
      <w:color w:val="auto"/>
      <w:sz w:val="24"/>
    </w:rPr>
  </w:style>
  <w:style w:type="character" w:customStyle="1" w:styleId="T31">
    <w:name w:val="T31"/>
    <w:rPr>
      <w:rFonts w:ascii="Times New Roman1" w:eastAsia="Times New Roman" w:hAnsi="Times New Roman1" w:cs="Times New Roman"/>
      <w:color w:val="auto"/>
      <w:sz w:val="24"/>
    </w:rPr>
  </w:style>
  <w:style w:type="character" w:customStyle="1" w:styleId="T19">
    <w:name w:val="T19"/>
  </w:style>
  <w:style w:type="character" w:customStyle="1" w:styleId="T22">
    <w:name w:val="T22"/>
    <w:rPr>
      <w:b/>
    </w:rPr>
  </w:style>
  <w:style w:type="character" w:customStyle="1" w:styleId="T32">
    <w:name w:val="T32"/>
  </w:style>
  <w:style w:type="character" w:customStyle="1" w:styleId="StrongEmphasis">
    <w:name w:val="Strong Emphasis"/>
    <w:rPr>
      <w:b/>
      <w:bCs/>
    </w:rPr>
  </w:style>
  <w:style w:type="numbering" w:customStyle="1" w:styleId="WW8Num1">
    <w:name w:val="WW8Num1"/>
    <w:basedOn w:val="Semlista"/>
    <w:pPr>
      <w:numPr>
        <w:numId w:val="1"/>
      </w:numPr>
    </w:pPr>
  </w:style>
  <w:style w:type="table" w:styleId="Tabelacomgrade">
    <w:name w:val="Table Grid"/>
    <w:basedOn w:val="Tabelanormal"/>
    <w:uiPriority w:val="39"/>
    <w:rsid w:val="00354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Standard"/>
    <w:rsid w:val="00777729"/>
    <w:pPr>
      <w:suppressAutoHyphens w:val="0"/>
      <w:spacing w:before="280" w:after="119"/>
    </w:pPr>
  </w:style>
  <w:style w:type="character" w:styleId="Hyperlink">
    <w:name w:val="Hyperlink"/>
    <w:uiPriority w:val="99"/>
    <w:unhideWhenUsed/>
    <w:rsid w:val="00AF6B4F"/>
    <w:rPr>
      <w:color w:val="0563C1"/>
      <w:u w:val="single"/>
    </w:rPr>
  </w:style>
  <w:style w:type="character" w:customStyle="1" w:styleId="UnresolvedMention">
    <w:name w:val="Unresolved Mention"/>
    <w:uiPriority w:val="99"/>
    <w:semiHidden/>
    <w:unhideWhenUsed/>
    <w:rsid w:val="00AF6B4F"/>
    <w:rPr>
      <w:color w:val="605E5C"/>
      <w:shd w:val="clear" w:color="auto" w:fill="E1DFDD"/>
    </w:rPr>
  </w:style>
  <w:style w:type="paragraph" w:styleId="PargrafodaLista">
    <w:name w:val="List Paragraph"/>
    <w:basedOn w:val="Normal"/>
    <w:uiPriority w:val="34"/>
    <w:qFormat/>
    <w:rsid w:val="00AF6B4F"/>
    <w:pPr>
      <w:ind w:left="708"/>
    </w:pPr>
    <w:rPr>
      <w:szCs w:val="21"/>
    </w:rPr>
  </w:style>
  <w:style w:type="paragraph" w:styleId="Textodenotaderodap">
    <w:name w:val="footnote text"/>
    <w:basedOn w:val="Normal"/>
    <w:link w:val="TextodenotaderodapChar"/>
    <w:uiPriority w:val="99"/>
    <w:semiHidden/>
    <w:unhideWhenUsed/>
    <w:rsid w:val="001565A8"/>
    <w:pPr>
      <w:suppressAutoHyphens w:val="0"/>
      <w:autoSpaceDN/>
      <w:textAlignment w:val="auto"/>
    </w:pPr>
    <w:rPr>
      <w:rFonts w:eastAsia="Lucida Sans Unicode"/>
      <w:kern w:val="0"/>
      <w:sz w:val="20"/>
      <w:szCs w:val="20"/>
      <w:lang w:bidi="ar-SA"/>
    </w:rPr>
  </w:style>
  <w:style w:type="character" w:customStyle="1" w:styleId="TextodenotaderodapChar1">
    <w:name w:val="Texto de nota de rodapé Char1"/>
    <w:uiPriority w:val="99"/>
    <w:semiHidden/>
    <w:rsid w:val="001565A8"/>
    <w:rPr>
      <w:kern w:val="3"/>
      <w:szCs w:val="18"/>
      <w:lang w:eastAsia="zh-CN" w:bidi="hi-IN"/>
    </w:rPr>
  </w:style>
  <w:style w:type="character" w:styleId="Refdenotaderodap">
    <w:name w:val="footnote reference"/>
    <w:uiPriority w:val="99"/>
    <w:semiHidden/>
    <w:unhideWhenUsed/>
    <w:rsid w:val="0015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Ttulo1">
    <w:name w:val="heading 1"/>
    <w:basedOn w:val="Standard"/>
    <w:next w:val="Standard"/>
    <w:uiPriority w:val="9"/>
    <w:qFormat/>
    <w:pPr>
      <w:keepNext/>
      <w:jc w:val="both"/>
      <w:outlineLvl w:val="0"/>
    </w:pPr>
    <w:rPr>
      <w:rFonts w:ascii="Copperplate Gothic Light" w:eastAsia="Copperplate Gothic Light" w:hAnsi="Copperplate Gothic Light" w:cs="Copperplate Gothic Light"/>
      <w:i/>
      <w:iCs/>
      <w:sz w:val="26"/>
      <w:szCs w:val="32"/>
    </w:rPr>
  </w:style>
  <w:style w:type="paragraph" w:styleId="Ttulo2">
    <w:name w:val="heading 2"/>
    <w:basedOn w:val="Standard"/>
    <w:next w:val="Standard"/>
    <w:uiPriority w:val="9"/>
    <w:semiHidden/>
    <w:unhideWhenUsed/>
    <w:qFormat/>
    <w:pPr>
      <w:keepNext/>
      <w:jc w:val="both"/>
      <w:outlineLvl w:val="1"/>
    </w:pPr>
    <w:rPr>
      <w:rFonts w:ascii="Georgia" w:eastAsia="Georgia" w:hAnsi="Georgia" w:cs="Georgia"/>
      <w:sz w:val="32"/>
    </w:rPr>
  </w:style>
  <w:style w:type="paragraph" w:styleId="Ttulo3">
    <w:name w:val="heading 3"/>
    <w:basedOn w:val="Standard"/>
    <w:next w:val="Standard"/>
    <w:uiPriority w:val="9"/>
    <w:semiHidden/>
    <w:unhideWhenUsed/>
    <w:qFormat/>
    <w:pPr>
      <w:keepNext/>
      <w:spacing w:before="240" w:after="60"/>
      <w:outlineLvl w:val="2"/>
    </w:pPr>
    <w:rPr>
      <w:rFonts w:ascii="Arial" w:eastAsia="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1">
    <w:name w:val="Legenda1"/>
    <w:basedOn w:val="Standard"/>
    <w:pPr>
      <w:suppressLineNumbers/>
      <w:spacing w:before="120" w:after="120"/>
    </w:pPr>
    <w:rPr>
      <w:rFonts w:cs="Tahoma"/>
      <w:i/>
      <w:iCs/>
    </w:rPr>
  </w:style>
  <w:style w:type="paragraph" w:customStyle="1" w:styleId="Corpodetexto21">
    <w:name w:val="Corpo de texto 21"/>
    <w:basedOn w:val="Standard"/>
    <w:pPr>
      <w:jc w:val="both"/>
    </w:pPr>
    <w:rPr>
      <w:rFonts w:ascii="Garamond" w:eastAsia="Garamond" w:hAnsi="Garamond" w:cs="Garamond"/>
      <w:sz w:val="32"/>
      <w:szCs w:val="20"/>
    </w:rPr>
  </w:style>
  <w:style w:type="paragraph" w:customStyle="1" w:styleId="Corpodetexto31">
    <w:name w:val="Corpo de texto 31"/>
    <w:basedOn w:val="Standard"/>
    <w:pPr>
      <w:spacing w:after="120"/>
    </w:pPr>
    <w:rPr>
      <w:sz w:val="16"/>
      <w:szCs w:val="16"/>
    </w:rPr>
  </w:style>
  <w:style w:type="paragraph" w:customStyle="1" w:styleId="Textbodyindent">
    <w:name w:val="Text body indent"/>
    <w:basedOn w:val="Standard"/>
    <w:pPr>
      <w:spacing w:after="120"/>
      <w:ind w:left="283"/>
    </w:pPr>
    <w:rPr>
      <w:sz w:val="20"/>
      <w:szCs w:val="20"/>
    </w:rPr>
  </w:style>
  <w:style w:type="paragraph" w:customStyle="1" w:styleId="Standarduser">
    <w:name w:val="Standard (user)"/>
    <w:pPr>
      <w:widowControl w:val="0"/>
      <w:suppressAutoHyphens/>
      <w:autoSpaceDN w:val="0"/>
      <w:textAlignment w:val="baseline"/>
    </w:pPr>
    <w:rPr>
      <w:rFonts w:ascii="Times New Roman" w:eastAsia="SimSun, 宋体" w:hAnsi="Times New Roman"/>
      <w:kern w:val="3"/>
      <w:sz w:val="24"/>
      <w:szCs w:val="24"/>
      <w:lang w:eastAsia="zh-CN" w:bidi="hi-IN"/>
    </w:rPr>
  </w:style>
  <w:style w:type="paragraph" w:customStyle="1" w:styleId="Footnote">
    <w:name w:val="Footnote"/>
    <w:basedOn w:val="Standard"/>
    <w:pPr>
      <w:widowControl w:val="0"/>
      <w:suppressLineNumbers/>
      <w:ind w:left="283" w:hanging="283"/>
    </w:pPr>
    <w:rPr>
      <w:rFonts w:eastAsia="Lucida Sans Unicode"/>
      <w:sz w:val="20"/>
      <w:szCs w:val="20"/>
    </w:rPr>
  </w:style>
  <w:style w:type="paragraph" w:styleId="Cabealho">
    <w:name w:val="header"/>
    <w:basedOn w:val="Standard"/>
    <w:uiPriority w:val="99"/>
    <w:pPr>
      <w:tabs>
        <w:tab w:val="center" w:pos="4252"/>
        <w:tab w:val="right" w:pos="8504"/>
      </w:tabs>
    </w:pPr>
  </w:style>
  <w:style w:type="paragraph" w:styleId="Rodap">
    <w:name w:val="footer"/>
    <w:basedOn w:val="Standard"/>
    <w:pPr>
      <w:tabs>
        <w:tab w:val="center" w:pos="4252"/>
        <w:tab w:val="right" w:pos="8504"/>
      </w:tabs>
    </w:pPr>
  </w:style>
  <w:style w:type="paragraph" w:customStyle="1" w:styleId="P14">
    <w:name w:val="P14"/>
    <w:basedOn w:val="Standard"/>
    <w:pPr>
      <w:widowControl w:val="0"/>
    </w:pPr>
  </w:style>
  <w:style w:type="paragraph" w:customStyle="1" w:styleId="P5">
    <w:name w:val="P5"/>
    <w:basedOn w:val="Standard"/>
    <w:pPr>
      <w:widowControl w:val="0"/>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Garamond" w:eastAsia="Garamond" w:hAnsi="Garamond" w:cs="Garamond"/>
      <w:sz w:val="32"/>
    </w:rPr>
  </w:style>
  <w:style w:type="character" w:customStyle="1" w:styleId="WW8Num3z0">
    <w:name w:val="WW8Num3z0"/>
    <w:rPr>
      <w:rFonts w:ascii="Garamond" w:eastAsia="Garamond" w:hAnsi="Garamond" w:cs="Garamond"/>
      <w:sz w:val="32"/>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WW-CaracteresdeNotadeRodap1">
    <w:name w:val="WW-Caracteres de Nota de Rodapé1"/>
  </w:style>
  <w:style w:type="character" w:customStyle="1" w:styleId="FootnoteSymbol">
    <w:name w:val="Footnote Symbol"/>
    <w:rPr>
      <w:position w:val="0"/>
      <w:vertAlign w:val="superscript"/>
    </w:rPr>
  </w:style>
  <w:style w:type="character" w:customStyle="1" w:styleId="TextodenotaderodapChar">
    <w:name w:val="Texto de nota de rodapé Char"/>
    <w:link w:val="Textodenotaderodap"/>
    <w:uiPriority w:val="99"/>
    <w:rPr>
      <w:rFonts w:eastAsia="Lucida Sans Unicode"/>
      <w:lang w:eastAsia="zh-CN"/>
    </w:rPr>
  </w:style>
  <w:style w:type="character" w:customStyle="1" w:styleId="CabealhoChar">
    <w:name w:val="Cabeçalho Char"/>
    <w:uiPriority w:val="99"/>
    <w:rPr>
      <w:sz w:val="24"/>
      <w:szCs w:val="24"/>
    </w:rPr>
  </w:style>
  <w:style w:type="character" w:customStyle="1" w:styleId="RodapChar">
    <w:name w:val="Rodapé Char"/>
    <w:rPr>
      <w:sz w:val="24"/>
      <w:szCs w:val="24"/>
    </w:rPr>
  </w:style>
  <w:style w:type="character" w:customStyle="1" w:styleId="T30">
    <w:name w:val="T30"/>
    <w:rPr>
      <w:rFonts w:ascii="Times New Roman1" w:eastAsia="Times New Roman" w:hAnsi="Times New Roman1" w:cs="Times New Roman"/>
      <w:color w:val="auto"/>
      <w:sz w:val="24"/>
    </w:rPr>
  </w:style>
  <w:style w:type="character" w:customStyle="1" w:styleId="T31">
    <w:name w:val="T31"/>
    <w:rPr>
      <w:rFonts w:ascii="Times New Roman1" w:eastAsia="Times New Roman" w:hAnsi="Times New Roman1" w:cs="Times New Roman"/>
      <w:color w:val="auto"/>
      <w:sz w:val="24"/>
    </w:rPr>
  </w:style>
  <w:style w:type="character" w:customStyle="1" w:styleId="T19">
    <w:name w:val="T19"/>
  </w:style>
  <w:style w:type="character" w:customStyle="1" w:styleId="T22">
    <w:name w:val="T22"/>
    <w:rPr>
      <w:b/>
    </w:rPr>
  </w:style>
  <w:style w:type="character" w:customStyle="1" w:styleId="T32">
    <w:name w:val="T32"/>
  </w:style>
  <w:style w:type="character" w:customStyle="1" w:styleId="StrongEmphasis">
    <w:name w:val="Strong Emphasis"/>
    <w:rPr>
      <w:b/>
      <w:bCs/>
    </w:rPr>
  </w:style>
  <w:style w:type="numbering" w:customStyle="1" w:styleId="WW8Num1">
    <w:name w:val="WW8Num1"/>
    <w:basedOn w:val="Semlista"/>
    <w:pPr>
      <w:numPr>
        <w:numId w:val="1"/>
      </w:numPr>
    </w:pPr>
  </w:style>
  <w:style w:type="table" w:styleId="Tabelacomgrade">
    <w:name w:val="Table Grid"/>
    <w:basedOn w:val="Tabelanormal"/>
    <w:uiPriority w:val="39"/>
    <w:rsid w:val="00354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Standard"/>
    <w:rsid w:val="00777729"/>
    <w:pPr>
      <w:suppressAutoHyphens w:val="0"/>
      <w:spacing w:before="280" w:after="119"/>
    </w:pPr>
  </w:style>
  <w:style w:type="character" w:styleId="Hyperlink">
    <w:name w:val="Hyperlink"/>
    <w:uiPriority w:val="99"/>
    <w:unhideWhenUsed/>
    <w:rsid w:val="00AF6B4F"/>
    <w:rPr>
      <w:color w:val="0563C1"/>
      <w:u w:val="single"/>
    </w:rPr>
  </w:style>
  <w:style w:type="character" w:customStyle="1" w:styleId="UnresolvedMention">
    <w:name w:val="Unresolved Mention"/>
    <w:uiPriority w:val="99"/>
    <w:semiHidden/>
    <w:unhideWhenUsed/>
    <w:rsid w:val="00AF6B4F"/>
    <w:rPr>
      <w:color w:val="605E5C"/>
      <w:shd w:val="clear" w:color="auto" w:fill="E1DFDD"/>
    </w:rPr>
  </w:style>
  <w:style w:type="paragraph" w:styleId="PargrafodaLista">
    <w:name w:val="List Paragraph"/>
    <w:basedOn w:val="Normal"/>
    <w:uiPriority w:val="34"/>
    <w:qFormat/>
    <w:rsid w:val="00AF6B4F"/>
    <w:pPr>
      <w:ind w:left="708"/>
    </w:pPr>
    <w:rPr>
      <w:szCs w:val="21"/>
    </w:rPr>
  </w:style>
  <w:style w:type="paragraph" w:styleId="Textodenotaderodap">
    <w:name w:val="footnote text"/>
    <w:basedOn w:val="Normal"/>
    <w:link w:val="TextodenotaderodapChar"/>
    <w:uiPriority w:val="99"/>
    <w:semiHidden/>
    <w:unhideWhenUsed/>
    <w:rsid w:val="001565A8"/>
    <w:pPr>
      <w:suppressAutoHyphens w:val="0"/>
      <w:autoSpaceDN/>
      <w:textAlignment w:val="auto"/>
    </w:pPr>
    <w:rPr>
      <w:rFonts w:eastAsia="Lucida Sans Unicode"/>
      <w:kern w:val="0"/>
      <w:sz w:val="20"/>
      <w:szCs w:val="20"/>
      <w:lang w:bidi="ar-SA"/>
    </w:rPr>
  </w:style>
  <w:style w:type="character" w:customStyle="1" w:styleId="TextodenotaderodapChar1">
    <w:name w:val="Texto de nota de rodapé Char1"/>
    <w:uiPriority w:val="99"/>
    <w:semiHidden/>
    <w:rsid w:val="001565A8"/>
    <w:rPr>
      <w:kern w:val="3"/>
      <w:szCs w:val="18"/>
      <w:lang w:eastAsia="zh-CN" w:bidi="hi-IN"/>
    </w:rPr>
  </w:style>
  <w:style w:type="character" w:styleId="Refdenotaderodap">
    <w:name w:val="footnote reference"/>
    <w:uiPriority w:val="99"/>
    <w:semiHidden/>
    <w:unhideWhenUsed/>
    <w:rsid w:val="0015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cfm.org.br/images/stories/pdf/covid-19_cf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38BE36C818E041BFF91EE6C4CEC9D3" ma:contentTypeVersion="2" ma:contentTypeDescription="Crie um novo documento." ma:contentTypeScope="" ma:versionID="a7ccf902b0ceef613fbf807da19c5965">
  <xsd:schema xmlns:xsd="http://www.w3.org/2001/XMLSchema" xmlns:xs="http://www.w3.org/2001/XMLSchema" xmlns:p="http://schemas.microsoft.com/office/2006/metadata/properties" xmlns:ns2="459cd502-3562-4937-8d30-458ff6c273b0" targetNamespace="http://schemas.microsoft.com/office/2006/metadata/properties" ma:root="true" ma:fieldsID="315f745357b95206cf7e6d0570da70d5" ns2:_="">
    <xsd:import namespace="459cd502-3562-4937-8d30-458ff6c273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d502-3562-4937-8d30-458ff6c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E0E1-4843-41B3-82AD-1D3255958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d502-3562-4937-8d30-458ff6c27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96177-0322-4A2B-AC00-57CDC1B4E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3164C-5666-4528-9EEE-8BEAE86634EA}">
  <ds:schemaRefs>
    <ds:schemaRef ds:uri="http://schemas.microsoft.com/sharepoint/v3/contenttype/forms"/>
  </ds:schemaRefs>
</ds:datastoreItem>
</file>

<file path=customXml/itemProps4.xml><?xml version="1.0" encoding="utf-8"?>
<ds:datastoreItem xmlns:ds="http://schemas.openxmlformats.org/officeDocument/2006/customXml" ds:itemID="{E45BF858-D05C-418F-BFEF-6FDD82BE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1771</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PROMOTORIA DE JUSTIÇA DA COMARCA DE ANGICAL</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PROMOTORIA DE JUSTIÇA DA COMARCA DE ANGICAL</dc:title>
  <dc:creator>Procuradoria Geral da Bahia</dc:creator>
  <cp:lastModifiedBy>zilda</cp:lastModifiedBy>
  <cp:revision>2</cp:revision>
  <cp:lastPrinted>2019-01-25T10:45:00Z</cp:lastPrinted>
  <dcterms:created xsi:type="dcterms:W3CDTF">2020-06-04T14:42:00Z</dcterms:created>
  <dcterms:modified xsi:type="dcterms:W3CDTF">2020-06-04T14:42:00Z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0x010100C738BE36C818E041BFF91EE6C4CEC9D3</vt:lpwstr>
  </property>
</Properties>
</file>