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8504" w:type="dxa"/>
        <w:tblLayout w:type="fixed"/>
        <w:tblLook w:val="06A0" w:firstRow="1" w:lastRow="0" w:firstColumn="1" w:lastColumn="0" w:noHBand="1" w:noVBand="1"/>
      </w:tblPr>
      <w:tblGrid>
        <w:gridCol w:w="3105"/>
        <w:gridCol w:w="5399"/>
      </w:tblGrid>
      <w:tr w:rsidR="51B1A933" w:rsidTr="5E95D801" w14:paraId="6C77A368" w14:textId="77777777">
        <w:tc>
          <w:tcPr>
            <w:tcW w:w="3105" w:type="dxa"/>
            <w:tcMar/>
          </w:tcPr>
          <w:p w:rsidR="2DA8FDD1" w:rsidP="55EBC6F0" w:rsidRDefault="2DA8FDD1" w14:paraId="6700FC7E" w14:textId="51EE2609">
            <w:pPr>
              <w:rPr>
                <w:rFonts w:ascii="Palatino Linotype" w:hAnsi="Palatino Linotype" w:eastAsia="Palatino Linotype" w:cs="Palatino Linotype"/>
                <w:b w:val="1"/>
                <w:bCs w:val="1"/>
                <w:sz w:val="24"/>
                <w:szCs w:val="24"/>
                <w:lang w:val="pt-BR"/>
              </w:rPr>
            </w:pPr>
            <w:r w:rsidRPr="55EBC6F0" w:rsidR="6D55154E">
              <w:rPr>
                <w:rFonts w:ascii="Palatino Linotype" w:hAnsi="Palatino Linotype" w:eastAsia="Palatino Linotype" w:cs="Palatino Linotype"/>
                <w:b w:val="1"/>
                <w:bCs w:val="1"/>
                <w:sz w:val="24"/>
                <w:szCs w:val="24"/>
                <w:lang w:val="pt-BR"/>
              </w:rPr>
              <w:t>Procedimento nº.:</w:t>
            </w:r>
          </w:p>
        </w:tc>
        <w:tc>
          <w:tcPr>
            <w:tcW w:w="5399" w:type="dxa"/>
            <w:tcMar/>
          </w:tcPr>
          <w:p w:rsidR="2DA8FDD1" w:rsidP="55EBC6F0" w:rsidRDefault="4F3F1CCA" w14:paraId="34E967C5" w14:textId="1357B9C2">
            <w:pPr>
              <w:rPr>
                <w:rFonts w:ascii="Palatino Linotype" w:hAnsi="Palatino Linotype" w:eastAsia="Palatino Linotype" w:cs="Palatino Linotype"/>
                <w:sz w:val="24"/>
                <w:szCs w:val="24"/>
                <w:lang w:val="pt-BR"/>
              </w:rPr>
            </w:pPr>
            <w:r w:rsidRPr="55EBC6F0" w:rsidR="30794681">
              <w:rPr>
                <w:rFonts w:ascii="Palatino Linotype" w:hAnsi="Palatino Linotype" w:eastAsia="Palatino Linotype" w:cs="Palatino Linotype"/>
                <w:sz w:val="24"/>
                <w:szCs w:val="24"/>
                <w:lang w:val="pt-BR"/>
              </w:rPr>
              <w:t>003.0.8936/2020</w:t>
            </w:r>
          </w:p>
        </w:tc>
      </w:tr>
      <w:tr w:rsidR="51B1A933" w:rsidTr="5E95D801" w14:paraId="047E8F3B" w14:textId="77777777">
        <w:tc>
          <w:tcPr>
            <w:tcW w:w="3105" w:type="dxa"/>
            <w:tcMar/>
          </w:tcPr>
          <w:p w:rsidR="2DA8FDD1" w:rsidP="55EBC6F0" w:rsidRDefault="4F3F1CCA" w14:paraId="2129A255" w14:textId="40B288DB">
            <w:pPr>
              <w:rPr>
                <w:rFonts w:ascii="Palatino Linotype" w:hAnsi="Palatino Linotype" w:eastAsia="Palatino Linotype" w:cs="Palatino Linotype"/>
                <w:b w:val="1"/>
                <w:bCs w:val="1"/>
                <w:sz w:val="24"/>
                <w:szCs w:val="24"/>
                <w:lang w:val="pt-BR"/>
              </w:rPr>
            </w:pPr>
            <w:r w:rsidRPr="55EBC6F0" w:rsidR="30794681">
              <w:rPr>
                <w:rFonts w:ascii="Palatino Linotype" w:hAnsi="Palatino Linotype" w:eastAsia="Palatino Linotype" w:cs="Palatino Linotype"/>
                <w:b w:val="1"/>
                <w:bCs w:val="1"/>
                <w:sz w:val="24"/>
                <w:szCs w:val="24"/>
                <w:lang w:val="pt-BR"/>
              </w:rPr>
              <w:t>Interessado(a):</w:t>
            </w:r>
          </w:p>
        </w:tc>
        <w:tc>
          <w:tcPr>
            <w:tcW w:w="5399" w:type="dxa"/>
            <w:tcMar/>
          </w:tcPr>
          <w:p w:rsidR="2DA8FDD1" w:rsidP="55EBC6F0" w:rsidRDefault="50E6D6F5" w14:paraId="63B3E084" w14:textId="0BB2D14E">
            <w:pPr>
              <w:pStyle w:val="Normal"/>
              <w:bidi w:val="0"/>
              <w:spacing w:before="0" w:beforeAutospacing="off" w:after="0" w:afterAutospacing="off" w:line="259" w:lineRule="auto"/>
              <w:ind w:left="0" w:right="0"/>
              <w:jc w:val="left"/>
              <w:rPr>
                <w:rFonts w:ascii="Palatino Linotype" w:hAnsi="Palatino Linotype" w:eastAsia="Palatino Linotype" w:cs="Palatino Linotype"/>
                <w:sz w:val="24"/>
                <w:szCs w:val="24"/>
                <w:lang w:val="pt-BR"/>
              </w:rPr>
            </w:pPr>
            <w:r w:rsidRPr="55EBC6F0" w:rsidR="30794681">
              <w:rPr>
                <w:rFonts w:ascii="Palatino Linotype" w:hAnsi="Palatino Linotype" w:eastAsia="Palatino Linotype" w:cs="Palatino Linotype"/>
                <w:sz w:val="24"/>
                <w:szCs w:val="24"/>
                <w:lang w:val="pt-BR"/>
              </w:rPr>
              <w:t>Pregoeiro</w:t>
            </w:r>
          </w:p>
        </w:tc>
      </w:tr>
      <w:tr w:rsidR="51B1A933" w:rsidTr="5E95D801" w14:paraId="51C683CA" w14:textId="77777777">
        <w:tc>
          <w:tcPr>
            <w:tcW w:w="3105" w:type="dxa"/>
            <w:tcMar/>
          </w:tcPr>
          <w:p w:rsidR="2DA8FDD1" w:rsidP="55EBC6F0" w:rsidRDefault="2DA8FDD1" w14:paraId="58271117" w14:textId="700C1E4C">
            <w:pPr>
              <w:rPr>
                <w:rFonts w:ascii="Palatino Linotype" w:hAnsi="Palatino Linotype" w:eastAsia="Palatino Linotype" w:cs="Palatino Linotype"/>
                <w:sz w:val="24"/>
                <w:szCs w:val="24"/>
                <w:lang w:val="pt-BR"/>
              </w:rPr>
            </w:pPr>
            <w:r w:rsidRPr="55EBC6F0" w:rsidR="6D55154E">
              <w:rPr>
                <w:rFonts w:ascii="Palatino Linotype" w:hAnsi="Palatino Linotype" w:eastAsia="Palatino Linotype" w:cs="Palatino Linotype"/>
                <w:b w:val="1"/>
                <w:bCs w:val="1"/>
                <w:sz w:val="24"/>
                <w:szCs w:val="24"/>
                <w:lang w:val="pt-BR"/>
              </w:rPr>
              <w:t>Espécie:</w:t>
            </w:r>
          </w:p>
        </w:tc>
        <w:tc>
          <w:tcPr>
            <w:tcW w:w="5399" w:type="dxa"/>
            <w:tcMar/>
          </w:tcPr>
          <w:p w:rsidR="2DA8FDD1" w:rsidP="55EBC6F0" w:rsidRDefault="1B27C31D" w14:paraId="35132A12" w14:textId="37B68DF9">
            <w:pPr>
              <w:pStyle w:val="Normal"/>
              <w:bidi w:val="0"/>
              <w:spacing w:before="0" w:beforeAutospacing="off" w:after="0" w:afterAutospacing="off" w:line="259" w:lineRule="auto"/>
              <w:ind w:left="0" w:right="0"/>
              <w:jc w:val="left"/>
              <w:rPr>
                <w:rFonts w:ascii="Palatino Linotype" w:hAnsi="Palatino Linotype" w:eastAsia="Palatino Linotype" w:cs="Palatino Linotype"/>
                <w:sz w:val="24"/>
                <w:szCs w:val="24"/>
                <w:lang w:val="pt-BR"/>
              </w:rPr>
            </w:pPr>
            <w:r w:rsidRPr="55EBC6F0" w:rsidR="5CB95FBA">
              <w:rPr>
                <w:rFonts w:ascii="Palatino Linotype" w:hAnsi="Palatino Linotype" w:eastAsia="Palatino Linotype" w:cs="Palatino Linotype"/>
                <w:sz w:val="24"/>
                <w:szCs w:val="24"/>
                <w:lang w:val="pt-BR"/>
              </w:rPr>
              <w:t>Consulta Jurídica</w:t>
            </w:r>
          </w:p>
        </w:tc>
      </w:tr>
      <w:tr w:rsidR="02E2EF04" w:rsidTr="5E95D801" w14:paraId="172A2B3B">
        <w:tc>
          <w:tcPr>
            <w:tcW w:w="3105" w:type="dxa"/>
            <w:tcMar/>
          </w:tcPr>
          <w:p w:rsidR="2AFF1563" w:rsidP="55EBC6F0" w:rsidRDefault="2AFF1563" w14:paraId="0FF4E8D4" w14:textId="7C6B35B3">
            <w:pPr>
              <w:pStyle w:val="Normal"/>
              <w:rPr>
                <w:rFonts w:ascii="Palatino Linotype" w:hAnsi="Palatino Linotype" w:eastAsia="Palatino Linotype" w:cs="Palatino Linotype"/>
                <w:b w:val="1"/>
                <w:bCs w:val="1"/>
                <w:sz w:val="24"/>
                <w:szCs w:val="24"/>
                <w:lang w:val="pt-BR"/>
              </w:rPr>
            </w:pPr>
            <w:r w:rsidRPr="55EBC6F0" w:rsidR="5F4FE60A">
              <w:rPr>
                <w:rFonts w:ascii="Palatino Linotype" w:hAnsi="Palatino Linotype" w:eastAsia="Palatino Linotype" w:cs="Palatino Linotype"/>
                <w:b w:val="1"/>
                <w:bCs w:val="1"/>
                <w:sz w:val="24"/>
                <w:szCs w:val="24"/>
                <w:lang w:val="pt-BR"/>
              </w:rPr>
              <w:t>Assunto:</w:t>
            </w:r>
          </w:p>
        </w:tc>
        <w:tc>
          <w:tcPr>
            <w:tcW w:w="5399" w:type="dxa"/>
            <w:tcMar/>
          </w:tcPr>
          <w:p w:rsidR="2AFF1563" w:rsidP="55EBC6F0" w:rsidRDefault="2AFF1563" w14:paraId="2450042F" w14:textId="74D4D262">
            <w:pPr>
              <w:pStyle w:val="Normal"/>
              <w:spacing w:line="259" w:lineRule="auto"/>
              <w:jc w:val="left"/>
              <w:rPr>
                <w:rFonts w:ascii="Palatino Linotype" w:hAnsi="Palatino Linotype" w:eastAsia="Palatino Linotype" w:cs="Palatino Linotype"/>
                <w:sz w:val="24"/>
                <w:szCs w:val="24"/>
                <w:lang w:val="pt-BR"/>
              </w:rPr>
            </w:pPr>
            <w:r w:rsidRPr="55EBC6F0" w:rsidR="5F4FE60A">
              <w:rPr>
                <w:rFonts w:ascii="Palatino Linotype" w:hAnsi="Palatino Linotype" w:eastAsia="Palatino Linotype" w:cs="Palatino Linotype"/>
                <w:sz w:val="24"/>
                <w:szCs w:val="24"/>
                <w:lang w:val="pt-BR"/>
              </w:rPr>
              <w:t>Pregão Eletrônico nº. 30/2020</w:t>
            </w:r>
          </w:p>
        </w:tc>
      </w:tr>
    </w:tbl>
    <w:p w:rsidR="570755A5" w:rsidP="55EBC6F0" w:rsidRDefault="570755A5" w14:paraId="238C6969" w14:textId="730A93DB">
      <w:pPr>
        <w:pStyle w:val="Normal"/>
        <w:spacing w:line="360" w:lineRule="auto"/>
        <w:jc w:val="both"/>
        <w:rPr>
          <w:rFonts w:ascii="Palatino Linotype" w:hAnsi="Palatino Linotype" w:eastAsia="Palatino Linotype" w:cs="Palatino Linotype"/>
          <w:b w:val="1"/>
          <w:bCs w:val="1"/>
          <w:sz w:val="24"/>
          <w:szCs w:val="24"/>
          <w:lang w:val="pt-BR"/>
        </w:rPr>
      </w:pPr>
    </w:p>
    <w:p w:rsidR="007C0369" w:rsidP="7CBAACF9" w:rsidRDefault="6988579C" w14:paraId="38CEB356" w14:textId="620FD419">
      <w:pPr>
        <w:spacing w:line="240" w:lineRule="auto"/>
        <w:ind w:left="2880"/>
        <w:contextualSpacing/>
        <w:jc w:val="both"/>
        <w:rPr>
          <w:rFonts w:ascii="Palatino Linotype" w:hAnsi="Palatino Linotype" w:eastAsia="Palatino Linotype" w:cs="Palatino Linotype"/>
          <w:b w:val="0"/>
          <w:bCs w:val="0"/>
          <w:sz w:val="24"/>
          <w:szCs w:val="24"/>
          <w:lang w:val="pt-BR"/>
        </w:rPr>
      </w:pPr>
      <w:r w:rsidRPr="7CBAACF9" w:rsidR="7E956653">
        <w:rPr>
          <w:rFonts w:ascii="Palatino Linotype" w:hAnsi="Palatino Linotype" w:eastAsia="Palatino Linotype" w:cs="Palatino Linotype"/>
          <w:b w:val="0"/>
          <w:bCs w:val="0"/>
          <w:sz w:val="24"/>
          <w:szCs w:val="24"/>
          <w:lang w:val="pt-BR"/>
        </w:rPr>
        <w:t xml:space="preserve">EMENTA: DIREITO ADMINISTRATIVO. LICITAÇÕES E CONTRATOS. CONSULTA JURÍDICA. </w:t>
      </w:r>
      <w:r w:rsidRPr="7CBAACF9" w:rsidR="6B90207F">
        <w:rPr>
          <w:rFonts w:ascii="Palatino Linotype" w:hAnsi="Palatino Linotype" w:eastAsia="Palatino Linotype" w:cs="Palatino Linotype"/>
          <w:b w:val="0"/>
          <w:bCs w:val="0"/>
          <w:sz w:val="24"/>
          <w:szCs w:val="24"/>
          <w:lang w:val="pt-BR"/>
        </w:rPr>
        <w:t>PE 30/2020. MANUTENÇÃO DE GERADOR. HABILITAÇÃO JURÍDICA. SOCIEDADE LIMITADA. ALTERAÇÃO CONTRATUAL. EXCLUSÃO DE SÓCIO. ART. 1.033, IV, CÓDIGO CIVIL. AUSÊNCIA DE RECONSTITUIÇ</w:t>
      </w:r>
      <w:r w:rsidRPr="7CBAACF9" w:rsidR="65C51417">
        <w:rPr>
          <w:rFonts w:ascii="Palatino Linotype" w:hAnsi="Palatino Linotype" w:eastAsia="Palatino Linotype" w:cs="Palatino Linotype"/>
          <w:b w:val="0"/>
          <w:bCs w:val="0"/>
          <w:sz w:val="24"/>
          <w:szCs w:val="24"/>
          <w:lang w:val="pt-BR"/>
        </w:rPr>
        <w:t>ÃO. LEI NOVA. LEI Nº. 13.874/2019. ART. 1.052, CÓDIGO CIVIL. SOCIEDADE UNIPESSOAL. INSTRUÇÃO NORMATIVA DREI Nº. 81/2020.</w:t>
      </w:r>
      <w:r w:rsidRPr="7CBAACF9" w:rsidR="5DBABDDD">
        <w:rPr>
          <w:rFonts w:ascii="Palatino Linotype" w:hAnsi="Palatino Linotype" w:eastAsia="Palatino Linotype" w:cs="Palatino Linotype"/>
          <w:b w:val="0"/>
          <w:bCs w:val="0"/>
          <w:sz w:val="24"/>
          <w:szCs w:val="24"/>
          <w:lang w:val="pt-BR"/>
        </w:rPr>
        <w:t xml:space="preserve"> NÃO APLICAÇÃO DO ART. 1.033, IV, CÓDIGO CIVIL. PELA </w:t>
      </w:r>
      <w:r w:rsidRPr="7CBAACF9" w:rsidR="7EA78B3B">
        <w:rPr>
          <w:rFonts w:ascii="Palatino Linotype" w:hAnsi="Palatino Linotype" w:eastAsia="Palatino Linotype" w:cs="Palatino Linotype"/>
          <w:b w:val="0"/>
          <w:bCs w:val="0"/>
          <w:sz w:val="24"/>
          <w:szCs w:val="24"/>
          <w:lang w:val="pt-BR"/>
        </w:rPr>
        <w:t>HABILITAÇÃO JURÍDICA.</w:t>
      </w:r>
    </w:p>
    <w:p w:rsidR="55EBC6F0" w:rsidP="55EBC6F0" w:rsidRDefault="55EBC6F0" w14:paraId="1CA54C48" w14:textId="4320F1F5">
      <w:pPr>
        <w:pStyle w:val="Normal"/>
        <w:spacing w:line="360" w:lineRule="auto"/>
        <w:rPr>
          <w:rFonts w:ascii="Palatino Linotype" w:hAnsi="Palatino Linotype" w:eastAsia="Palatino Linotype" w:cs="Palatino Linotype"/>
          <w:sz w:val="22"/>
          <w:szCs w:val="22"/>
        </w:rPr>
      </w:pPr>
    </w:p>
    <w:p w:rsidR="55EBC6F0" w:rsidP="55EBC6F0" w:rsidRDefault="55EBC6F0" w14:paraId="6EC06899" w14:textId="0F6774D6">
      <w:pPr>
        <w:pStyle w:val="Normal"/>
        <w:spacing w:line="360" w:lineRule="auto"/>
        <w:rPr>
          <w:rFonts w:ascii="Palatino Linotype" w:hAnsi="Palatino Linotype" w:eastAsia="Palatino Linotype" w:cs="Palatino Linotype"/>
          <w:sz w:val="22"/>
          <w:szCs w:val="22"/>
        </w:rPr>
      </w:pPr>
    </w:p>
    <w:p w:rsidR="7E956653" w:rsidP="5E95D801" w:rsidRDefault="7E956653" w14:paraId="1A9EEE04" w14:textId="2AB09989">
      <w:pPr>
        <w:pStyle w:val="Normal"/>
        <w:spacing w:line="360" w:lineRule="auto"/>
        <w:jc w:val="center"/>
        <w:rPr>
          <w:rFonts w:ascii="Palatino Linotype" w:hAnsi="Palatino Linotype" w:eastAsia="Palatino Linotype" w:cs="Palatino Linotype"/>
          <w:b w:val="1"/>
          <w:bCs w:val="1"/>
          <w:sz w:val="24"/>
          <w:szCs w:val="24"/>
        </w:rPr>
      </w:pPr>
      <w:r w:rsidRPr="5E95D801" w:rsidR="7E956653">
        <w:rPr>
          <w:rFonts w:ascii="Palatino Linotype" w:hAnsi="Palatino Linotype" w:eastAsia="Palatino Linotype" w:cs="Palatino Linotype"/>
          <w:b w:val="1"/>
          <w:bCs w:val="1"/>
          <w:sz w:val="24"/>
          <w:szCs w:val="24"/>
        </w:rPr>
        <w:t xml:space="preserve">PARECER Nº. </w:t>
      </w:r>
      <w:r w:rsidRPr="5E95D801" w:rsidR="131F746E">
        <w:rPr>
          <w:rFonts w:ascii="Palatino Linotype" w:hAnsi="Palatino Linotype" w:eastAsia="Palatino Linotype" w:cs="Palatino Linotype"/>
          <w:b w:val="1"/>
          <w:bCs w:val="1"/>
          <w:sz w:val="24"/>
          <w:szCs w:val="24"/>
        </w:rPr>
        <w:t>586</w:t>
      </w:r>
      <w:r w:rsidRPr="5E95D801" w:rsidR="7E956653">
        <w:rPr>
          <w:rFonts w:ascii="Palatino Linotype" w:hAnsi="Palatino Linotype" w:eastAsia="Palatino Linotype" w:cs="Palatino Linotype"/>
          <w:b w:val="1"/>
          <w:bCs w:val="1"/>
          <w:sz w:val="24"/>
          <w:szCs w:val="24"/>
        </w:rPr>
        <w:t>/2020</w:t>
      </w:r>
    </w:p>
    <w:p w:rsidR="55EBC6F0" w:rsidP="55EBC6F0" w:rsidRDefault="55EBC6F0" w14:paraId="5B07B8FB" w14:textId="1932801F">
      <w:pPr>
        <w:pStyle w:val="Normal"/>
        <w:spacing w:line="360" w:lineRule="auto"/>
        <w:jc w:val="both"/>
        <w:rPr>
          <w:rFonts w:ascii="Palatino Linotype" w:hAnsi="Palatino Linotype" w:eastAsia="Palatino Linotype" w:cs="Palatino Linotype"/>
          <w:sz w:val="22"/>
          <w:szCs w:val="22"/>
        </w:rPr>
      </w:pPr>
    </w:p>
    <w:p w:rsidR="55EBC6F0" w:rsidP="55EBC6F0" w:rsidRDefault="55EBC6F0" w14:paraId="5A74151F" w14:textId="0BCE4F1A">
      <w:pPr>
        <w:pStyle w:val="Normal"/>
        <w:spacing w:line="360" w:lineRule="auto"/>
        <w:jc w:val="both"/>
        <w:rPr>
          <w:rFonts w:ascii="Palatino Linotype" w:hAnsi="Palatino Linotype" w:eastAsia="Palatino Linotype" w:cs="Palatino Linotype"/>
          <w:sz w:val="22"/>
          <w:szCs w:val="22"/>
        </w:rPr>
      </w:pPr>
    </w:p>
    <w:p w:rsidR="7E956653" w:rsidP="55EBC6F0" w:rsidRDefault="7E956653" w14:paraId="262F787F" w14:textId="330F4657">
      <w:pPr>
        <w:pStyle w:val="Normal"/>
        <w:spacing w:line="360" w:lineRule="auto"/>
        <w:jc w:val="both"/>
        <w:rPr>
          <w:rFonts w:ascii="Palatino Linotype" w:hAnsi="Palatino Linotype" w:eastAsia="Palatino Linotype" w:cs="Palatino Linotype"/>
          <w:b w:val="1"/>
          <w:bCs w:val="1"/>
          <w:sz w:val="24"/>
          <w:szCs w:val="24"/>
        </w:rPr>
      </w:pPr>
      <w:r w:rsidRPr="55EBC6F0" w:rsidR="7E956653">
        <w:rPr>
          <w:rFonts w:ascii="Palatino Linotype" w:hAnsi="Palatino Linotype" w:eastAsia="Palatino Linotype" w:cs="Palatino Linotype"/>
          <w:b w:val="1"/>
          <w:bCs w:val="1"/>
          <w:sz w:val="24"/>
          <w:szCs w:val="24"/>
        </w:rPr>
        <w:t>I - RELATÓRIO</w:t>
      </w:r>
    </w:p>
    <w:p w:rsidR="02E2EF04" w:rsidP="55EBC6F0" w:rsidRDefault="02E2EF04" w14:paraId="36F0DB29" w14:textId="5AF2F22A">
      <w:pPr>
        <w:pStyle w:val="Normal"/>
        <w:spacing w:line="360" w:lineRule="auto"/>
        <w:rPr>
          <w:rFonts w:ascii="Palatino Linotype" w:hAnsi="Palatino Linotype" w:eastAsia="Palatino Linotype" w:cs="Palatino Linotype"/>
          <w:sz w:val="24"/>
          <w:szCs w:val="24"/>
        </w:rPr>
      </w:pPr>
    </w:p>
    <w:p w:rsidR="570755A5" w:rsidP="02E2EF04" w:rsidRDefault="570755A5" w14:paraId="2962DB09" w14:textId="199B86F4">
      <w:pPr>
        <w:spacing w:line="360" w:lineRule="auto"/>
        <w:ind w:firstLine="1417"/>
        <w:jc w:val="both"/>
        <w:rPr>
          <w:rFonts w:ascii="Palatino Linotype" w:hAnsi="Palatino Linotype" w:eastAsia="Palatino Linotype" w:cs="Palatino Linotype"/>
          <w:sz w:val="24"/>
          <w:szCs w:val="24"/>
        </w:rPr>
      </w:pPr>
      <w:r w:rsidRPr="55EBC6F0" w:rsidR="5CB95FBA">
        <w:rPr>
          <w:rFonts w:ascii="Palatino Linotype" w:hAnsi="Palatino Linotype" w:eastAsia="Palatino Linotype" w:cs="Palatino Linotype"/>
          <w:sz w:val="24"/>
          <w:szCs w:val="24"/>
        </w:rPr>
        <w:t xml:space="preserve">O </w:t>
      </w:r>
      <w:proofErr w:type="spellStart"/>
      <w:r w:rsidRPr="55EBC6F0" w:rsidR="5CB95FBA">
        <w:rPr>
          <w:rFonts w:ascii="Palatino Linotype" w:hAnsi="Palatino Linotype" w:eastAsia="Palatino Linotype" w:cs="Palatino Linotype"/>
          <w:b w:val="0"/>
          <w:bCs w:val="0"/>
          <w:sz w:val="24"/>
          <w:szCs w:val="24"/>
        </w:rPr>
        <w:t>Pregoeiro</w:t>
      </w:r>
      <w:proofErr w:type="spellEnd"/>
      <w:r w:rsidRPr="55EBC6F0" w:rsidR="5CB95FBA">
        <w:rPr>
          <w:rFonts w:ascii="Palatino Linotype" w:hAnsi="Palatino Linotype" w:eastAsia="Palatino Linotype" w:cs="Palatino Linotype"/>
          <w:sz w:val="24"/>
          <w:szCs w:val="24"/>
        </w:rPr>
        <w:t xml:space="preserve"> do </w:t>
      </w:r>
      <w:proofErr w:type="spellStart"/>
      <w:r w:rsidRPr="55EBC6F0" w:rsidR="5CB95FBA">
        <w:rPr>
          <w:rFonts w:ascii="Palatino Linotype" w:hAnsi="Palatino Linotype" w:eastAsia="Palatino Linotype" w:cs="Palatino Linotype"/>
          <w:sz w:val="24"/>
          <w:szCs w:val="24"/>
        </w:rPr>
        <w:t>Pregão</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Eletrônico</w:t>
      </w:r>
      <w:proofErr w:type="spellEnd"/>
      <w:r w:rsidRPr="55EBC6F0" w:rsidR="5CB95FBA">
        <w:rPr>
          <w:rFonts w:ascii="Palatino Linotype" w:hAnsi="Palatino Linotype" w:eastAsia="Palatino Linotype" w:cs="Palatino Linotype"/>
          <w:sz w:val="24"/>
          <w:szCs w:val="24"/>
        </w:rPr>
        <w:t xml:space="preserve"> nº. 30/2020, </w:t>
      </w:r>
      <w:proofErr w:type="spellStart"/>
      <w:r w:rsidRPr="55EBC6F0" w:rsidR="5CB95FBA">
        <w:rPr>
          <w:rFonts w:ascii="Palatino Linotype" w:hAnsi="Palatino Linotype" w:eastAsia="Palatino Linotype" w:cs="Palatino Linotype"/>
          <w:sz w:val="24"/>
          <w:szCs w:val="24"/>
        </w:rPr>
        <w:t>cujo</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objeto</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consiste</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na</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prestação</w:t>
      </w:r>
      <w:proofErr w:type="spellEnd"/>
      <w:r w:rsidRPr="55EBC6F0" w:rsidR="5CB95FBA">
        <w:rPr>
          <w:rFonts w:ascii="Palatino Linotype" w:hAnsi="Palatino Linotype" w:eastAsia="Palatino Linotype" w:cs="Palatino Linotype"/>
          <w:sz w:val="24"/>
          <w:szCs w:val="24"/>
        </w:rPr>
        <w:t xml:space="preserve"> de </w:t>
      </w:r>
      <w:proofErr w:type="spellStart"/>
      <w:r w:rsidRPr="55EBC6F0" w:rsidR="5CB95FBA">
        <w:rPr>
          <w:rFonts w:ascii="Palatino Linotype" w:hAnsi="Palatino Linotype" w:eastAsia="Palatino Linotype" w:cs="Palatino Linotype"/>
          <w:sz w:val="24"/>
          <w:szCs w:val="24"/>
        </w:rPr>
        <w:t>serviços</w:t>
      </w:r>
      <w:proofErr w:type="spellEnd"/>
      <w:r w:rsidRPr="55EBC6F0" w:rsidR="5CB95FBA">
        <w:rPr>
          <w:rFonts w:ascii="Palatino Linotype" w:hAnsi="Palatino Linotype" w:eastAsia="Palatino Linotype" w:cs="Palatino Linotype"/>
          <w:sz w:val="24"/>
          <w:szCs w:val="24"/>
        </w:rPr>
        <w:t xml:space="preserve"> de </w:t>
      </w:r>
      <w:proofErr w:type="spellStart"/>
      <w:r w:rsidRPr="55EBC6F0" w:rsidR="5CB95FBA">
        <w:rPr>
          <w:rFonts w:ascii="Palatino Linotype" w:hAnsi="Palatino Linotype" w:eastAsia="Palatino Linotype" w:cs="Palatino Linotype"/>
          <w:sz w:val="24"/>
          <w:szCs w:val="24"/>
        </w:rPr>
        <w:t>manutenção</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preventiva</w:t>
      </w:r>
      <w:proofErr w:type="spellEnd"/>
      <w:r w:rsidRPr="55EBC6F0" w:rsidR="5CB95FBA">
        <w:rPr>
          <w:rFonts w:ascii="Palatino Linotype" w:hAnsi="Palatino Linotype" w:eastAsia="Palatino Linotype" w:cs="Palatino Linotype"/>
          <w:sz w:val="24"/>
          <w:szCs w:val="24"/>
        </w:rPr>
        <w:t xml:space="preserve"> e </w:t>
      </w:r>
      <w:proofErr w:type="spellStart"/>
      <w:r w:rsidRPr="55EBC6F0" w:rsidR="5CB95FBA">
        <w:rPr>
          <w:rFonts w:ascii="Palatino Linotype" w:hAnsi="Palatino Linotype" w:eastAsia="Palatino Linotype" w:cs="Palatino Linotype"/>
          <w:sz w:val="24"/>
          <w:szCs w:val="24"/>
        </w:rPr>
        <w:t>corretiva</w:t>
      </w:r>
      <w:proofErr w:type="spellEnd"/>
      <w:r w:rsidRPr="55EBC6F0" w:rsidR="5CB95FBA">
        <w:rPr>
          <w:rFonts w:ascii="Palatino Linotype" w:hAnsi="Palatino Linotype" w:eastAsia="Palatino Linotype" w:cs="Palatino Linotype"/>
          <w:sz w:val="24"/>
          <w:szCs w:val="24"/>
        </w:rPr>
        <w:t xml:space="preserve"> </w:t>
      </w:r>
      <w:proofErr w:type="spellStart"/>
      <w:r w:rsidRPr="55EBC6F0" w:rsidR="5CB95FBA">
        <w:rPr>
          <w:rFonts w:ascii="Palatino Linotype" w:hAnsi="Palatino Linotype" w:eastAsia="Palatino Linotype" w:cs="Palatino Linotype"/>
          <w:sz w:val="24"/>
          <w:szCs w:val="24"/>
        </w:rPr>
        <w:t>em</w:t>
      </w:r>
      <w:proofErr w:type="spellEnd"/>
      <w:r w:rsidRPr="55EBC6F0" w:rsidR="02755086">
        <w:rPr>
          <w:rFonts w:ascii="Palatino Linotype" w:hAnsi="Palatino Linotype" w:eastAsia="Palatino Linotype" w:cs="Palatino Linotype"/>
          <w:sz w:val="24"/>
          <w:szCs w:val="24"/>
        </w:rPr>
        <w:t xml:space="preserve"> 01 (um) </w:t>
      </w:r>
      <w:proofErr w:type="spellStart"/>
      <w:r w:rsidRPr="55EBC6F0" w:rsidR="02755086">
        <w:rPr>
          <w:rFonts w:ascii="Palatino Linotype" w:hAnsi="Palatino Linotype" w:eastAsia="Palatino Linotype" w:cs="Palatino Linotype"/>
          <w:sz w:val="24"/>
          <w:szCs w:val="24"/>
        </w:rPr>
        <w:t>Gerador</w:t>
      </w:r>
      <w:proofErr w:type="spellEnd"/>
      <w:r w:rsidRPr="55EBC6F0" w:rsidR="02755086">
        <w:rPr>
          <w:rFonts w:ascii="Palatino Linotype" w:hAnsi="Palatino Linotype" w:eastAsia="Palatino Linotype" w:cs="Palatino Linotype"/>
          <w:sz w:val="24"/>
          <w:szCs w:val="24"/>
        </w:rPr>
        <w:t xml:space="preserve"> </w:t>
      </w:r>
      <w:proofErr w:type="spellStart"/>
      <w:r w:rsidRPr="55EBC6F0" w:rsidR="02755086">
        <w:rPr>
          <w:rFonts w:ascii="Palatino Linotype" w:hAnsi="Palatino Linotype" w:eastAsia="Palatino Linotype" w:cs="Palatino Linotype"/>
          <w:sz w:val="24"/>
          <w:szCs w:val="24"/>
        </w:rPr>
        <w:t>instalado</w:t>
      </w:r>
      <w:proofErr w:type="spellEnd"/>
      <w:r w:rsidRPr="55EBC6F0" w:rsidR="02755086">
        <w:rPr>
          <w:rFonts w:ascii="Palatino Linotype" w:hAnsi="Palatino Linotype" w:eastAsia="Palatino Linotype" w:cs="Palatino Linotype"/>
          <w:sz w:val="24"/>
          <w:szCs w:val="24"/>
        </w:rPr>
        <w:t xml:space="preserve"> </w:t>
      </w:r>
      <w:proofErr w:type="spellStart"/>
      <w:r w:rsidRPr="55EBC6F0" w:rsidR="02755086">
        <w:rPr>
          <w:rFonts w:ascii="Palatino Linotype" w:hAnsi="Palatino Linotype" w:eastAsia="Palatino Linotype" w:cs="Palatino Linotype"/>
          <w:sz w:val="24"/>
          <w:szCs w:val="24"/>
        </w:rPr>
        <w:t>na</w:t>
      </w:r>
      <w:proofErr w:type="spellEnd"/>
      <w:r w:rsidRPr="55EBC6F0" w:rsidR="02755086">
        <w:rPr>
          <w:rFonts w:ascii="Palatino Linotype" w:hAnsi="Palatino Linotype" w:eastAsia="Palatino Linotype" w:cs="Palatino Linotype"/>
          <w:sz w:val="24"/>
          <w:szCs w:val="24"/>
        </w:rPr>
        <w:t xml:space="preserve"> </w:t>
      </w:r>
      <w:proofErr w:type="spellStart"/>
      <w:r w:rsidRPr="55EBC6F0" w:rsidR="02755086">
        <w:rPr>
          <w:rFonts w:ascii="Palatino Linotype" w:hAnsi="Palatino Linotype" w:eastAsia="Palatino Linotype" w:cs="Palatino Linotype"/>
          <w:sz w:val="24"/>
          <w:szCs w:val="24"/>
        </w:rPr>
        <w:t>Promotoria</w:t>
      </w:r>
      <w:proofErr w:type="spellEnd"/>
      <w:r w:rsidRPr="55EBC6F0" w:rsidR="02755086">
        <w:rPr>
          <w:rFonts w:ascii="Palatino Linotype" w:hAnsi="Palatino Linotype" w:eastAsia="Palatino Linotype" w:cs="Palatino Linotype"/>
          <w:sz w:val="24"/>
          <w:szCs w:val="24"/>
        </w:rPr>
        <w:t xml:space="preserve"> de </w:t>
      </w:r>
      <w:proofErr w:type="spellStart"/>
      <w:r w:rsidRPr="55EBC6F0" w:rsidR="02755086">
        <w:rPr>
          <w:rFonts w:ascii="Palatino Linotype" w:hAnsi="Palatino Linotype" w:eastAsia="Palatino Linotype" w:cs="Palatino Linotype"/>
          <w:sz w:val="24"/>
          <w:szCs w:val="24"/>
        </w:rPr>
        <w:t>Justiça</w:t>
      </w:r>
      <w:proofErr w:type="spellEnd"/>
      <w:r w:rsidRPr="55EBC6F0" w:rsidR="02755086">
        <w:rPr>
          <w:rFonts w:ascii="Palatino Linotype" w:hAnsi="Palatino Linotype" w:eastAsia="Palatino Linotype" w:cs="Palatino Linotype"/>
          <w:sz w:val="24"/>
          <w:szCs w:val="24"/>
        </w:rPr>
        <w:t xml:space="preserve"> Regional de Feira de Santana, formula a </w:t>
      </w:r>
      <w:proofErr w:type="spellStart"/>
      <w:r w:rsidRPr="55EBC6F0" w:rsidR="02755086">
        <w:rPr>
          <w:rFonts w:ascii="Palatino Linotype" w:hAnsi="Palatino Linotype" w:eastAsia="Palatino Linotype" w:cs="Palatino Linotype"/>
          <w:sz w:val="24"/>
          <w:szCs w:val="24"/>
        </w:rPr>
        <w:t>seguinte</w:t>
      </w:r>
      <w:proofErr w:type="spellEnd"/>
      <w:r w:rsidRPr="55EBC6F0" w:rsidR="02755086">
        <w:rPr>
          <w:rFonts w:ascii="Palatino Linotype" w:hAnsi="Palatino Linotype" w:eastAsia="Palatino Linotype" w:cs="Palatino Linotype"/>
          <w:sz w:val="24"/>
          <w:szCs w:val="24"/>
        </w:rPr>
        <w:t xml:space="preserve"> </w:t>
      </w:r>
      <w:r w:rsidRPr="55EBC6F0" w:rsidR="02755086">
        <w:rPr>
          <w:rFonts w:ascii="Palatino Linotype" w:hAnsi="Palatino Linotype" w:eastAsia="Palatino Linotype" w:cs="Palatino Linotype"/>
          <w:b w:val="1"/>
          <w:bCs w:val="1"/>
          <w:sz w:val="24"/>
          <w:szCs w:val="24"/>
        </w:rPr>
        <w:t xml:space="preserve">Consulta </w:t>
      </w:r>
      <w:proofErr w:type="spellStart"/>
      <w:r w:rsidRPr="55EBC6F0" w:rsidR="02755086">
        <w:rPr>
          <w:rFonts w:ascii="Palatino Linotype" w:hAnsi="Palatino Linotype" w:eastAsia="Palatino Linotype" w:cs="Palatino Linotype"/>
          <w:b w:val="1"/>
          <w:bCs w:val="1"/>
          <w:sz w:val="24"/>
          <w:szCs w:val="24"/>
        </w:rPr>
        <w:t>Jurídica</w:t>
      </w:r>
      <w:proofErr w:type="spellEnd"/>
      <w:r w:rsidRPr="55EBC6F0" w:rsidR="02755086">
        <w:rPr>
          <w:rFonts w:ascii="Palatino Linotype" w:hAnsi="Palatino Linotype" w:eastAsia="Palatino Linotype" w:cs="Palatino Linotype"/>
          <w:sz w:val="24"/>
          <w:szCs w:val="24"/>
        </w:rPr>
        <w:t>:</w:t>
      </w:r>
    </w:p>
    <w:p w:rsidR="007C0369" w:rsidP="55EBC6F0" w:rsidRDefault="00202003" w14:paraId="5C2DBC9A" w14:textId="302BB562">
      <w:pPr>
        <w:pStyle w:val="Normal"/>
        <w:spacing w:line="360" w:lineRule="auto"/>
        <w:contextualSpacing/>
        <w:rPr>
          <w:rFonts w:ascii="Palatino Linotype" w:hAnsi="Palatino Linotype" w:eastAsia="Palatino Linotype" w:cs="Palatino Linotype"/>
          <w:sz w:val="24"/>
          <w:szCs w:val="24"/>
        </w:rPr>
      </w:pPr>
    </w:p>
    <w:p w:rsidR="007C0369" w:rsidP="55EBC6F0" w:rsidRDefault="00202003" w14:paraId="233C4872" w14:textId="4861A1E3">
      <w:pPr>
        <w:spacing w:line="240" w:lineRule="auto"/>
        <w:ind w:left="216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en-US"/>
        </w:rPr>
      </w:pP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Cumprimentando-os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cordialmente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gostaria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solicitar</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consulta a Assessoria Técnico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Jurídica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Ministério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Público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do Estado da Bahia,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sobre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Habilitação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Jurídica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Empresa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ARQTEC – COMERCIO E SERVIÇOS LTDA EPP, CNPJ: 12.018.845/0001-93,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referente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Pregão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Eletrônico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30/2020, que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está</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em</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andamento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junto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Coordenação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Licitações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w:t>
      </w:r>
      <w:r w:rsidRPr="55EBC6F0" w:rsidR="05C10444">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Hoje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dia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05/10/2020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empresa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foi</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convocada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para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apresentar</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documentação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para 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Pregão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supracitado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 qual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cumpriu</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dentro do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prazo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envio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dos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documentos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habilitação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w:t>
      </w:r>
      <w:r w:rsidRPr="55EBC6F0" w:rsidR="5AB457E8">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Ocorre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que, procedendo com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análise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minuciosa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dos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documentos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enviados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pela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empresa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em</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questão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foi</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constatado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que </w:t>
      </w:r>
      <w:proofErr w:type="gramStart"/>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o</w:t>
      </w:r>
      <w:proofErr w:type="gramEnd"/>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Contrato Social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apresentado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que segue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em</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anexo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consta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seguinte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informação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CLÁUSULA PRIMEIRA da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alteração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contratual</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nº 8, que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trata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do QUADRO SOCIETÁRIO,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tem</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-se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redigido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retirada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sócia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Maria Lúcia Correia Teles, e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observação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paragrafada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A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sociedade</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poderá</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prosseguir</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com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apenas</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01 (hum)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sócio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pelo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prazo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máximo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de 180 (cento 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oitenta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dias</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com base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na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hipótese</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contida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no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artigo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1.033 da lei 10.406/2002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código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civil)".</w:t>
      </w:r>
      <w:r w:rsidRPr="55EBC6F0" w:rsidR="5777F720">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Sendo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assim</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foi</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feita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diligência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por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este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pregoeiro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no Site da JUCEB,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conforme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documento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anexo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para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verificar</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outras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possíveis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alterações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contratuais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dentro do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limite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prazo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 180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dias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informado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no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contrato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social,</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vimos</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que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até</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a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presente</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data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não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foi</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realizada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nenhuma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outra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alteração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A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última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alteração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contratual</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da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empresa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foi</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realizada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em</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10/10/2019,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exatamente</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no que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diz</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respeito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à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retirada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de um dos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sócios</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que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consta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no Contrato Social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apresentado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ratificando</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proofErr w:type="gramStart"/>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w:t>
      </w:r>
      <w:proofErr w:type="gramEnd"/>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ausência</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de </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pluralidade</w:t>
      </w:r>
      <w:r w:rsidRPr="55EBC6F0" w:rsidR="5CB95FBA">
        <w:rPr>
          <w:rFonts w:ascii="Palatino Linotype" w:hAnsi="Palatino Linotype" w:eastAsia="Palatino Linotype" w:cs="Palatino Linotype"/>
          <w:b w:val="1"/>
          <w:bCs w:val="1"/>
          <w:i w:val="0"/>
          <w:iCs w:val="0"/>
          <w:noProof w:val="0"/>
          <w:color w:val="000000" w:themeColor="text1" w:themeTint="FF" w:themeShade="FF"/>
          <w:sz w:val="20"/>
          <w:szCs w:val="20"/>
          <w:u w:val="single"/>
          <w:lang w:val="en-US"/>
        </w:rPr>
        <w:t xml:space="preserve"> de sócios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w:t>
      </w:r>
      <w:r w:rsidRPr="55EBC6F0" w:rsidR="624FE6C4">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Este pregoeiro, afim de criar subsídios para que se proceda a habilitação ou inabilitação da empresa em comento, solicita análise técnico-jurídica, sobre o fato de se ela está funcionando de forma regular ou irregular, diante do documento apresentado e conforme a legislação vigente que regula a matéria, tendo em vista não haver comprovação junto aos documentos apresentados de que a empresa tenha cumprido o exigido no contrato social que consiste na reconstituição da pluralidade social dentro do prazo de 180 dias a contar daquela alteração contratual registrada na JUCEB  em 10/10/2020</w:t>
      </w:r>
      <w:r w:rsidRPr="55EBC6F0" w:rsidR="6DD762FE">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Desta forma,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encaminhamos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documentação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para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análise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manifestação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dessa Assessoria Técnico-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Jurídica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fim</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esclarecer</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qual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deve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ser o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procedimento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a ser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adotado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por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esta</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Coordenação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de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Licitações</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neste</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 xml:space="preserve"> </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caso</w:t>
      </w:r>
      <w:r w:rsidRPr="55EBC6F0" w:rsidR="5CB95FBA">
        <w:rPr>
          <w:rFonts w:ascii="Palatino Linotype" w:hAnsi="Palatino Linotype" w:eastAsia="Palatino Linotype" w:cs="Palatino Linotype"/>
          <w:b w:val="0"/>
          <w:bCs w:val="0"/>
          <w:i w:val="0"/>
          <w:iCs w:val="0"/>
          <w:noProof w:val="0"/>
          <w:color w:val="000000" w:themeColor="text1" w:themeTint="FF" w:themeShade="FF"/>
          <w:sz w:val="20"/>
          <w:szCs w:val="20"/>
          <w:lang w:val="en-US"/>
        </w:rPr>
        <w:t>.</w:t>
      </w:r>
    </w:p>
    <w:p w:rsidR="007C0369" w:rsidP="55EBC6F0" w:rsidRDefault="00202003" w14:paraId="38623D54" w14:textId="2EBF2663">
      <w:pPr>
        <w:pStyle w:val="Normal"/>
        <w:spacing w:line="360" w:lineRule="auto"/>
        <w:contextualSpacing/>
        <w:rPr>
          <w:rFonts w:ascii="Palatino Linotype" w:hAnsi="Palatino Linotype" w:eastAsia="Palatino Linotype" w:cs="Palatino Linotype"/>
          <w:sz w:val="24"/>
          <w:szCs w:val="24"/>
        </w:rPr>
      </w:pPr>
    </w:p>
    <w:p w:rsidR="007C0369" w:rsidP="55EBC6F0" w:rsidRDefault="00202003" w14:paraId="6DC6F3A5" w14:textId="24E61C69">
      <w:pPr>
        <w:pStyle w:val="Normal"/>
        <w:spacing w:line="360" w:lineRule="auto"/>
        <w:ind w:firstLine="1417"/>
        <w:contextualSpacing/>
        <w:jc w:val="both"/>
        <w:rPr>
          <w:rFonts w:ascii="Palatino Linotype" w:hAnsi="Palatino Linotype" w:eastAsia="Palatino Linotype" w:cs="Palatino Linotype"/>
          <w:sz w:val="24"/>
          <w:szCs w:val="24"/>
          <w:lang w:val="pt-BR"/>
        </w:rPr>
      </w:pPr>
      <w:r w:rsidRPr="55EBC6F0" w:rsidR="4037DBBD">
        <w:rPr>
          <w:rFonts w:ascii="Palatino Linotype" w:hAnsi="Palatino Linotype" w:eastAsia="Palatino Linotype" w:cs="Palatino Linotype"/>
          <w:sz w:val="24"/>
          <w:szCs w:val="24"/>
          <w:lang w:val="pt-BR"/>
        </w:rPr>
        <w:t xml:space="preserve">Em seguida, esta Assessoria Técnico-Jurídica opinou pela intimação da licitante </w:t>
      </w:r>
      <w:r w:rsidRPr="55EBC6F0" w:rsidR="4037DBBD">
        <w:rPr>
          <w:rFonts w:ascii="Palatino Linotype" w:hAnsi="Palatino Linotype" w:eastAsia="Palatino Linotype" w:cs="Palatino Linotype"/>
          <w:b w:val="0"/>
          <w:bCs w:val="0"/>
          <w:i w:val="0"/>
          <w:iCs w:val="0"/>
          <w:noProof w:val="0"/>
          <w:color w:val="000000" w:themeColor="text1" w:themeTint="FF" w:themeShade="FF"/>
          <w:sz w:val="24"/>
          <w:szCs w:val="24"/>
          <w:lang w:val="pt-BR"/>
        </w:rPr>
        <w:t>ARQTEC - Comércio e Serviços LTDA para que, querendo, se manifestasse acerca da cláusula primeira da Alteração Contratual nº. 08 da sociedade limitada (fl. 166</w:t>
      </w:r>
      <w:r w:rsidRPr="55EBC6F0" w:rsidR="3B583FD8">
        <w:rPr>
          <w:rFonts w:ascii="Palatino Linotype" w:hAnsi="Palatino Linotype" w:eastAsia="Palatino Linotype" w:cs="Palatino Linotype"/>
          <w:b w:val="0"/>
          <w:bCs w:val="0"/>
          <w:i w:val="0"/>
          <w:iCs w:val="0"/>
          <w:noProof w:val="0"/>
          <w:color w:val="000000" w:themeColor="text1" w:themeTint="FF" w:themeShade="FF"/>
          <w:sz w:val="24"/>
          <w:szCs w:val="24"/>
          <w:lang w:val="pt-BR"/>
        </w:rPr>
        <w:t>), diante do que prevê o art. 1.033, IV, do Código Civil.</w:t>
      </w:r>
    </w:p>
    <w:p w:rsidR="007C0369" w:rsidP="55EBC6F0" w:rsidRDefault="00202003" w14:paraId="7FEC9769" w14:textId="292FDA6E">
      <w:pPr>
        <w:pStyle w:val="Normal"/>
        <w:spacing w:line="360" w:lineRule="auto"/>
        <w:ind w:firstLine="1417"/>
        <w:contextualSpacing/>
        <w:jc w:val="both"/>
        <w:rPr>
          <w:rFonts w:ascii="Palatino Linotype" w:hAnsi="Palatino Linotype" w:eastAsia="Palatino Linotype" w:cs="Palatino Linotype"/>
          <w:b w:val="0"/>
          <w:bCs w:val="0"/>
          <w:i w:val="0"/>
          <w:iCs w:val="0"/>
          <w:noProof w:val="0"/>
          <w:color w:val="000000" w:themeColor="text1" w:themeTint="FF" w:themeShade="FF"/>
          <w:sz w:val="24"/>
          <w:szCs w:val="24"/>
          <w:lang w:val="pt-BR"/>
        </w:rPr>
      </w:pPr>
    </w:p>
    <w:p w:rsidR="007C0369" w:rsidP="7CBAACF9" w:rsidRDefault="00202003" w14:paraId="4A8B039B" w14:textId="474ADE21">
      <w:pPr>
        <w:pStyle w:val="Normal"/>
        <w:spacing w:line="360" w:lineRule="auto"/>
        <w:ind w:firstLine="1417"/>
        <w:contextualSpacing/>
        <w:jc w:val="both"/>
        <w:rPr>
          <w:rFonts w:ascii="Palatino Linotype" w:hAnsi="Palatino Linotype" w:eastAsia="Palatino Linotype" w:cs="Palatino Linotype"/>
          <w:b w:val="0"/>
          <w:bCs w:val="0"/>
          <w:i w:val="0"/>
          <w:iCs w:val="0"/>
          <w:noProof w:val="0"/>
          <w:color w:val="000000" w:themeColor="text1" w:themeTint="FF" w:themeShade="FF"/>
          <w:sz w:val="24"/>
          <w:szCs w:val="24"/>
          <w:lang w:val="pt-BR"/>
        </w:rPr>
      </w:pPr>
      <w:r w:rsidRPr="7CBAACF9" w:rsidR="3B583FD8">
        <w:rPr>
          <w:rFonts w:ascii="Palatino Linotype" w:hAnsi="Palatino Linotype" w:eastAsia="Palatino Linotype" w:cs="Palatino Linotype"/>
          <w:b w:val="0"/>
          <w:bCs w:val="0"/>
          <w:i w:val="0"/>
          <w:iCs w:val="0"/>
          <w:noProof w:val="0"/>
          <w:color w:val="000000" w:themeColor="text1" w:themeTint="FF" w:themeShade="FF"/>
          <w:sz w:val="24"/>
          <w:szCs w:val="24"/>
          <w:lang w:val="pt-BR"/>
        </w:rPr>
        <w:t>Em resposta, a licitante afirmou que</w:t>
      </w:r>
      <w:r w:rsidRPr="7CBAACF9" w:rsidR="429D7EFC">
        <w:rPr>
          <w:rFonts w:ascii="Palatino Linotype" w:hAnsi="Palatino Linotype" w:eastAsia="Palatino Linotype" w:cs="Palatino Linotype"/>
          <w:b w:val="0"/>
          <w:bCs w:val="0"/>
          <w:i w:val="0"/>
          <w:iCs w:val="0"/>
          <w:noProof w:val="0"/>
          <w:color w:val="000000" w:themeColor="text1" w:themeTint="FF" w:themeShade="FF"/>
          <w:sz w:val="24"/>
          <w:szCs w:val="24"/>
          <w:lang w:val="pt-BR"/>
        </w:rPr>
        <w:t xml:space="preserve">, com a edição da Lei nº. 13.874/2019, sancionada em 20 de </w:t>
      </w:r>
      <w:proofErr w:type="gramStart"/>
      <w:r w:rsidRPr="7CBAACF9" w:rsidR="429D7EFC">
        <w:rPr>
          <w:rFonts w:ascii="Palatino Linotype" w:hAnsi="Palatino Linotype" w:eastAsia="Palatino Linotype" w:cs="Palatino Linotype"/>
          <w:b w:val="0"/>
          <w:bCs w:val="0"/>
          <w:i w:val="0"/>
          <w:iCs w:val="0"/>
          <w:noProof w:val="0"/>
          <w:color w:val="000000" w:themeColor="text1" w:themeTint="FF" w:themeShade="FF"/>
          <w:sz w:val="24"/>
          <w:szCs w:val="24"/>
          <w:lang w:val="pt-BR"/>
        </w:rPr>
        <w:t>Setembro</w:t>
      </w:r>
      <w:proofErr w:type="gramEnd"/>
      <w:r w:rsidRPr="7CBAACF9" w:rsidR="429D7EFC">
        <w:rPr>
          <w:rFonts w:ascii="Palatino Linotype" w:hAnsi="Palatino Linotype" w:eastAsia="Palatino Linotype" w:cs="Palatino Linotype"/>
          <w:b w:val="0"/>
          <w:bCs w:val="0"/>
          <w:i w:val="0"/>
          <w:iCs w:val="0"/>
          <w:noProof w:val="0"/>
          <w:color w:val="000000" w:themeColor="text1" w:themeTint="FF" w:themeShade="FF"/>
          <w:sz w:val="24"/>
          <w:szCs w:val="24"/>
          <w:lang w:val="pt-BR"/>
        </w:rPr>
        <w:t xml:space="preserve"> de 2019, não é mais obrigada a ter pluralidade de sócios, em razão do que consta no art. 1.052, §§ 1º e 2º, do Código Civil.</w:t>
      </w:r>
    </w:p>
    <w:p w:rsidR="007C0369" w:rsidP="55EBC6F0" w:rsidRDefault="00202003" w14:paraId="56911308" w14:textId="7906AFA6">
      <w:pPr>
        <w:pStyle w:val="Normal"/>
        <w:spacing w:line="360" w:lineRule="auto"/>
        <w:ind w:firstLine="1417"/>
        <w:contextualSpacing/>
        <w:jc w:val="both"/>
        <w:rPr>
          <w:rFonts w:ascii="Palatino Linotype" w:hAnsi="Palatino Linotype" w:eastAsia="Palatino Linotype" w:cs="Palatino Linotype"/>
          <w:b w:val="0"/>
          <w:bCs w:val="0"/>
          <w:i w:val="0"/>
          <w:iCs w:val="0"/>
          <w:noProof w:val="0"/>
          <w:color w:val="000000" w:themeColor="text1" w:themeTint="FF" w:themeShade="FF"/>
          <w:sz w:val="24"/>
          <w:szCs w:val="24"/>
          <w:lang w:val="pt-BR"/>
        </w:rPr>
      </w:pPr>
    </w:p>
    <w:p w:rsidR="007C0369" w:rsidP="55EBC6F0" w:rsidRDefault="00202003" w14:paraId="61F53838" w14:textId="060A8994">
      <w:pPr>
        <w:pStyle w:val="Normal"/>
        <w:spacing w:line="360" w:lineRule="auto"/>
        <w:ind w:firstLine="1417"/>
        <w:contextualSpacing/>
        <w:jc w:val="both"/>
        <w:rPr>
          <w:rFonts w:ascii="Palatino Linotype" w:hAnsi="Palatino Linotype" w:eastAsia="Palatino Linotype" w:cs="Palatino Linotype"/>
          <w:b w:val="0"/>
          <w:bCs w:val="0"/>
          <w:i w:val="0"/>
          <w:iCs w:val="0"/>
          <w:noProof w:val="0"/>
          <w:color w:val="000000" w:themeColor="text1" w:themeTint="FF" w:themeShade="FF"/>
          <w:sz w:val="24"/>
          <w:szCs w:val="24"/>
          <w:lang w:val="pt-BR"/>
        </w:rPr>
      </w:pPr>
      <w:r w:rsidRPr="55EBC6F0" w:rsidR="3B583FD8">
        <w:rPr>
          <w:rFonts w:ascii="Palatino Linotype" w:hAnsi="Palatino Linotype" w:eastAsia="Palatino Linotype" w:cs="Palatino Linotype"/>
          <w:b w:val="0"/>
          <w:bCs w:val="0"/>
          <w:i w:val="0"/>
          <w:iCs w:val="0"/>
          <w:noProof w:val="0"/>
          <w:color w:val="000000" w:themeColor="text1" w:themeTint="FF" w:themeShade="FF"/>
          <w:sz w:val="24"/>
          <w:szCs w:val="24"/>
          <w:lang w:val="pt-BR"/>
        </w:rPr>
        <w:t>É o breve relatório.</w:t>
      </w:r>
    </w:p>
    <w:p w:rsidR="007C0369" w:rsidP="55EBC6F0" w:rsidRDefault="00202003" w14:paraId="25056890" w14:textId="0D90F28F">
      <w:pPr>
        <w:pStyle w:val="Normal"/>
        <w:spacing w:line="360" w:lineRule="auto"/>
        <w:ind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4"/>
          <w:szCs w:val="24"/>
          <w:lang w:val="pt-BR"/>
        </w:rPr>
      </w:pPr>
    </w:p>
    <w:p w:rsidR="007C0369" w:rsidP="55EBC6F0" w:rsidRDefault="00202003" w14:paraId="6166BA94" w14:textId="25A98612">
      <w:pPr>
        <w:pStyle w:val="Normal"/>
        <w:spacing w:line="360" w:lineRule="auto"/>
        <w:ind w:firstLine="0"/>
        <w:contextualSpacing/>
        <w:jc w:val="both"/>
        <w:rPr>
          <w:rFonts w:ascii="Palatino Linotype" w:hAnsi="Palatino Linotype" w:eastAsia="Palatino Linotype" w:cs="Palatino Linotype"/>
          <w:b w:val="1"/>
          <w:bCs w:val="1"/>
          <w:i w:val="0"/>
          <w:iCs w:val="0"/>
          <w:noProof w:val="0"/>
          <w:color w:val="000000" w:themeColor="text1" w:themeTint="FF" w:themeShade="FF"/>
          <w:sz w:val="24"/>
          <w:szCs w:val="24"/>
          <w:lang w:val="pt-BR"/>
        </w:rPr>
      </w:pPr>
      <w:r w:rsidRPr="55EBC6F0" w:rsidR="3B583FD8">
        <w:rPr>
          <w:rFonts w:ascii="Palatino Linotype" w:hAnsi="Palatino Linotype" w:eastAsia="Palatino Linotype" w:cs="Palatino Linotype"/>
          <w:b w:val="1"/>
          <w:bCs w:val="1"/>
          <w:i w:val="0"/>
          <w:iCs w:val="0"/>
          <w:noProof w:val="0"/>
          <w:color w:val="000000" w:themeColor="text1" w:themeTint="FF" w:themeShade="FF"/>
          <w:sz w:val="24"/>
          <w:szCs w:val="24"/>
          <w:lang w:val="pt-BR"/>
        </w:rPr>
        <w:t>II – DOS FUNDAMENTOS JURÍDICOS</w:t>
      </w:r>
    </w:p>
    <w:p w:rsidR="007C0369" w:rsidP="55EBC6F0" w:rsidRDefault="00202003" w14:paraId="405029B5" w14:textId="3F0C5527">
      <w:pPr>
        <w:spacing w:line="360" w:lineRule="auto"/>
        <w:ind w:firstLine="1417"/>
        <w:contextualSpacing/>
        <w:jc w:val="both"/>
        <w:rPr>
          <w:rFonts w:ascii="Palatino Linotype" w:hAnsi="Palatino Linotype" w:eastAsia="Palatino Linotype" w:cs="Palatino Linotype"/>
          <w:sz w:val="24"/>
          <w:szCs w:val="24"/>
          <w:lang w:val="pt-BR"/>
        </w:rPr>
      </w:pPr>
    </w:p>
    <w:p w:rsidR="007C0369" w:rsidP="7CBAACF9" w:rsidRDefault="00202003" w14:paraId="7BF7D376" w14:textId="081D10F5">
      <w:pPr>
        <w:pStyle w:val="Normal"/>
        <w:spacing w:line="360" w:lineRule="auto"/>
        <w:ind w:firstLine="1417"/>
        <w:contextualSpacing/>
        <w:jc w:val="both"/>
        <w:rPr>
          <w:rFonts w:ascii="Palatino Linotype" w:hAnsi="Palatino Linotype" w:eastAsia="Palatino Linotype" w:cs="Palatino Linotype"/>
          <w:sz w:val="24"/>
          <w:szCs w:val="24"/>
          <w:lang w:val="pt-BR"/>
        </w:rPr>
      </w:pPr>
      <w:r w:rsidRPr="7CBAACF9" w:rsidR="7F61D06C">
        <w:rPr>
          <w:rFonts w:ascii="Palatino Linotype" w:hAnsi="Palatino Linotype" w:eastAsia="Palatino Linotype" w:cs="Palatino Linotype"/>
          <w:sz w:val="24"/>
          <w:szCs w:val="24"/>
          <w:lang w:val="pt-BR"/>
        </w:rPr>
        <w:t xml:space="preserve">O art. 1.033, do Código Civil Brasileiro, estabelece as hipóteses de dissolução da sociedade simples, dispositivo também aplicável às sociedades limitadas, por força dos </w:t>
      </w:r>
      <w:proofErr w:type="spellStart"/>
      <w:r w:rsidRPr="7CBAACF9" w:rsidR="7F61D06C">
        <w:rPr>
          <w:rFonts w:ascii="Palatino Linotype" w:hAnsi="Palatino Linotype" w:eastAsia="Palatino Linotype" w:cs="Palatino Linotype"/>
          <w:sz w:val="24"/>
          <w:szCs w:val="24"/>
          <w:lang w:val="pt-BR"/>
        </w:rPr>
        <w:t>arts</w:t>
      </w:r>
      <w:proofErr w:type="spellEnd"/>
      <w:r w:rsidRPr="7CBAACF9" w:rsidR="7F61D06C">
        <w:rPr>
          <w:rFonts w:ascii="Palatino Linotype" w:hAnsi="Palatino Linotype" w:eastAsia="Palatino Linotype" w:cs="Palatino Linotype"/>
          <w:sz w:val="24"/>
          <w:szCs w:val="24"/>
          <w:lang w:val="pt-BR"/>
        </w:rPr>
        <w:t>. 1.087 e 1.044 do Código Civil</w:t>
      </w:r>
      <w:r w:rsidRPr="7CBAACF9" w:rsidR="3C5AB4D7">
        <w:rPr>
          <w:rFonts w:ascii="Palatino Linotype" w:hAnsi="Palatino Linotype" w:eastAsia="Palatino Linotype" w:cs="Palatino Linotype"/>
          <w:sz w:val="24"/>
          <w:szCs w:val="24"/>
          <w:lang w:val="pt-BR"/>
        </w:rPr>
        <w:t>. Dentre as hipóteses de dissolução, consta a seguinte:</w:t>
      </w:r>
    </w:p>
    <w:p w:rsidR="007C0369" w:rsidP="7CBAACF9" w:rsidRDefault="00202003" w14:paraId="3496F8FF" w14:textId="193C9CB9">
      <w:pPr>
        <w:pStyle w:val="Normal"/>
        <w:spacing w:line="360" w:lineRule="auto"/>
        <w:ind w:firstLine="1417"/>
        <w:contextualSpacing/>
        <w:jc w:val="both"/>
        <w:rPr>
          <w:rFonts w:ascii="Times New Roman" w:hAnsi="Times New Roman" w:eastAsia="Times New Roman" w:cs="Times New Roman"/>
          <w:b w:val="0"/>
          <w:bCs w:val="0"/>
          <w:i w:val="0"/>
          <w:iCs w:val="0"/>
          <w:noProof w:val="0"/>
          <w:color w:val="000000" w:themeColor="text1" w:themeTint="FF" w:themeShade="FF"/>
          <w:sz w:val="19"/>
          <w:szCs w:val="19"/>
          <w:lang w:val="pt-BR"/>
        </w:rPr>
      </w:pPr>
    </w:p>
    <w:p w:rsidR="007C0369" w:rsidP="7CBAACF9" w:rsidRDefault="00202003" w14:paraId="34A06656" w14:textId="23E26741">
      <w:pPr>
        <w:pStyle w:val="Normal"/>
        <w:spacing w:line="240" w:lineRule="auto"/>
        <w:ind w:left="2160"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Art. 1.033. Dissolve-se a sociedade quando ocorrer:</w:t>
      </w:r>
    </w:p>
    <w:p w:rsidR="007C0369" w:rsidP="7CBAACF9" w:rsidRDefault="00202003" w14:paraId="42A182C8" w14:textId="4B6518E5">
      <w:pPr>
        <w:pStyle w:val="Normal"/>
        <w:spacing w:line="240" w:lineRule="auto"/>
        <w:ind w:left="2160" w:firstLine="0"/>
        <w:contextualSpacing/>
        <w:jc w:val="both"/>
        <w:rPr>
          <w:rFonts w:ascii="Palatino Linotype" w:hAnsi="Palatino Linotype" w:eastAsia="Palatino Linotype" w:cs="Palatino Linotype"/>
          <w:sz w:val="20"/>
          <w:szCs w:val="20"/>
        </w:rPr>
      </w:pPr>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IV - </w:t>
      </w:r>
      <w:proofErr w:type="gramStart"/>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a</w:t>
      </w:r>
      <w:proofErr w:type="gramEnd"/>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 falta de pluralidade de sócios, não reconstituída no prazo de cento e oitenta dias;</w:t>
      </w:r>
    </w:p>
    <w:p w:rsidR="007C0369" w:rsidP="7CBAACF9" w:rsidRDefault="00202003" w14:paraId="72682F13" w14:textId="02E97856">
      <w:pPr>
        <w:pStyle w:val="Normal"/>
        <w:spacing w:line="240" w:lineRule="auto"/>
        <w:ind w:left="2160"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p>
    <w:p w:rsidR="007C0369" w:rsidP="7CBAACF9" w:rsidRDefault="00202003" w14:paraId="6CF993A8" w14:textId="7B5CA2F5">
      <w:pPr>
        <w:pStyle w:val="Normal"/>
        <w:spacing w:line="240" w:lineRule="auto"/>
        <w:ind w:left="2160" w:firstLine="0"/>
        <w:contextualSpacing/>
        <w:jc w:val="both"/>
        <w:rPr>
          <w:rFonts w:ascii="Palatino Linotype" w:hAnsi="Palatino Linotype" w:eastAsia="Palatino Linotype" w:cs="Palatino Linotype"/>
          <w:sz w:val="20"/>
          <w:szCs w:val="20"/>
        </w:rPr>
      </w:pPr>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Parágrafo único. Não se aplica o disposto no inciso IV caso o sócio remanescente, inclusive na hipótese de concentração de todas as cotas da sociedade sob sua titularidade, requeira, no Registro Público de Empresas Mercantis, a transformação do registro da sociedade para empresário individual ou para empresa individual de responsabilidade limitada, observado, no que couber, o disposto nos </w:t>
      </w:r>
      <w:proofErr w:type="spellStart"/>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arts</w:t>
      </w:r>
      <w:proofErr w:type="spellEnd"/>
      <w:r w:rsidRPr="7CBAACF9" w:rsidR="7F61D06C">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 1.113 a 1.115 deste Código. </w:t>
      </w:r>
      <w:hyperlink w:anchor="art2" r:id="Rb31e88321cfd4291">
        <w:r w:rsidRPr="7CBAACF9" w:rsidR="7F61D06C">
          <w:rPr>
            <w:rStyle w:val="Hyperlink"/>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(Redação dada pela Lei nº 12.441, de 2011) </w:t>
        </w:r>
      </w:hyperlink>
      <w:hyperlink w:anchor="art3" r:id="Rd525a58f8026487d">
        <w:r w:rsidRPr="7CBAACF9" w:rsidR="7F61D06C">
          <w:rPr>
            <w:rStyle w:val="Hyperlink"/>
            <w:rFonts w:ascii="Palatino Linotype" w:hAnsi="Palatino Linotype" w:eastAsia="Palatino Linotype" w:cs="Palatino Linotype"/>
            <w:b w:val="0"/>
            <w:bCs w:val="0"/>
            <w:i w:val="0"/>
            <w:iCs w:val="0"/>
            <w:noProof w:val="0"/>
            <w:color w:val="000000" w:themeColor="text1" w:themeTint="FF" w:themeShade="FF"/>
            <w:sz w:val="20"/>
            <w:szCs w:val="20"/>
            <w:lang w:val="pt-BR"/>
          </w:rPr>
          <w:t>(Vigência)</w:t>
        </w:r>
      </w:hyperlink>
    </w:p>
    <w:p w:rsidR="007C0369" w:rsidP="7CBAACF9" w:rsidRDefault="00202003" w14:paraId="31F5795B" w14:textId="4E95AF07">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7CBAACF9" w:rsidRDefault="00202003" w14:paraId="704D983B" w14:textId="46F4CDC6">
      <w:pPr>
        <w:spacing w:line="360" w:lineRule="auto"/>
        <w:ind w:firstLine="1417"/>
        <w:contextualSpacing/>
        <w:jc w:val="both"/>
        <w:rPr>
          <w:rFonts w:ascii="Palatino Linotype" w:hAnsi="Palatino Linotype" w:eastAsia="Palatino Linotype" w:cs="Palatino Linotype"/>
          <w:sz w:val="24"/>
          <w:szCs w:val="24"/>
          <w:lang w:val="pt-BR"/>
        </w:rPr>
      </w:pPr>
      <w:r w:rsidRPr="7CBAACF9" w:rsidR="1814D144">
        <w:rPr>
          <w:rFonts w:ascii="Palatino Linotype" w:hAnsi="Palatino Linotype" w:eastAsia="Palatino Linotype" w:cs="Palatino Linotype"/>
          <w:sz w:val="24"/>
          <w:szCs w:val="24"/>
          <w:lang w:val="pt-BR"/>
        </w:rPr>
        <w:t>Analisando a cláusula primeira da Alteração Contratual nº. 08 da sociedade ARQTEC - Comércio e Serviços LTDA, verifica-se ter havido a retirada da sócia MARIA LÚCIA CORREIA TELES, permanecendo apenas o sócio JOSÉ BENEDITO ASSUNÇÃO.</w:t>
      </w:r>
    </w:p>
    <w:p w:rsidR="007C0369" w:rsidP="7CBAACF9" w:rsidRDefault="00202003" w14:paraId="13354DC3" w14:textId="57CF6DC1">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55EBC6F0" w:rsidRDefault="00202003" w14:paraId="2D6BC09C" w14:textId="7729A3AB">
      <w:pPr>
        <w:pStyle w:val="Normal"/>
        <w:spacing w:line="360" w:lineRule="auto"/>
        <w:ind w:firstLine="1417"/>
        <w:contextualSpacing/>
        <w:jc w:val="both"/>
        <w:rPr>
          <w:rFonts w:ascii="Palatino Linotype" w:hAnsi="Palatino Linotype" w:eastAsia="Palatino Linotype" w:cs="Palatino Linotype"/>
          <w:sz w:val="24"/>
          <w:szCs w:val="24"/>
          <w:lang w:val="pt-BR"/>
        </w:rPr>
      </w:pPr>
      <w:r w:rsidRPr="7CBAACF9" w:rsidR="1814D144">
        <w:rPr>
          <w:rFonts w:ascii="Palatino Linotype" w:hAnsi="Palatino Linotype" w:eastAsia="Palatino Linotype" w:cs="Palatino Linotype"/>
          <w:sz w:val="24"/>
          <w:szCs w:val="24"/>
          <w:lang w:val="pt-BR"/>
        </w:rPr>
        <w:t>Consta, em seguida, da referida cláusula, que a sociedade poderá prosseguir com apenas 01 (um) sócio pelo prazo máximo de 180 (cento e oitenta) dias, nos termos do art. 1.033, do Código Civil Brasileiro.</w:t>
      </w:r>
    </w:p>
    <w:p w:rsidR="007C0369" w:rsidP="7CBAACF9" w:rsidRDefault="00202003" w14:paraId="494B3433" w14:textId="573F4BBA">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7CBAACF9" w:rsidRDefault="00202003" w14:paraId="6AA901BE" w14:textId="349958F4">
      <w:pPr>
        <w:spacing w:line="360" w:lineRule="auto"/>
        <w:ind w:firstLine="1417"/>
        <w:contextualSpacing/>
        <w:jc w:val="both"/>
        <w:rPr>
          <w:rFonts w:ascii="Palatino Linotype" w:hAnsi="Palatino Linotype" w:eastAsia="Palatino Linotype" w:cs="Palatino Linotype"/>
          <w:i w:val="1"/>
          <w:iCs w:val="1"/>
          <w:sz w:val="24"/>
          <w:szCs w:val="24"/>
          <w:lang w:val="pt-BR"/>
        </w:rPr>
      </w:pPr>
      <w:r w:rsidRPr="7CBAACF9" w:rsidR="1814D144">
        <w:rPr>
          <w:rFonts w:ascii="Palatino Linotype" w:hAnsi="Palatino Linotype" w:eastAsia="Palatino Linotype" w:cs="Palatino Linotype"/>
          <w:sz w:val="24"/>
          <w:szCs w:val="24"/>
          <w:lang w:val="pt-BR"/>
        </w:rPr>
        <w:t xml:space="preserve">Conforme salientado pelo Pregoeiro, após realização de diligência no </w:t>
      </w:r>
      <w:r w:rsidRPr="7CBAACF9" w:rsidR="1814D144">
        <w:rPr>
          <w:rFonts w:ascii="Palatino Linotype" w:hAnsi="Palatino Linotype" w:eastAsia="Palatino Linotype" w:cs="Palatino Linotype"/>
          <w:i w:val="1"/>
          <w:iCs w:val="1"/>
          <w:sz w:val="24"/>
          <w:szCs w:val="24"/>
          <w:lang w:val="pt-BR"/>
        </w:rPr>
        <w:t xml:space="preserve">site </w:t>
      </w:r>
      <w:r w:rsidRPr="7CBAACF9" w:rsidR="1814D144">
        <w:rPr>
          <w:rFonts w:ascii="Palatino Linotype" w:hAnsi="Palatino Linotype" w:eastAsia="Palatino Linotype" w:cs="Palatino Linotype"/>
          <w:i w:val="0"/>
          <w:iCs w:val="0"/>
          <w:sz w:val="24"/>
          <w:szCs w:val="24"/>
          <w:lang w:val="pt-BR"/>
        </w:rPr>
        <w:t>da Junta Comercial do Estado da Bahia (JUCEB), foi constatado que a última alteração foi realizada em 10/10/2019, exatamente no que diz respeito à retirada de um dos sócios, ratificando a ausência de pluralidade de sócios.</w:t>
      </w:r>
    </w:p>
    <w:p w:rsidR="007C0369" w:rsidP="7CBAACF9" w:rsidRDefault="00202003" w14:paraId="3DAA70CC" w14:textId="10BD27EC">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p>
    <w:p w:rsidR="007C0369" w:rsidP="7CBAACF9" w:rsidRDefault="00202003" w14:paraId="7F6D2C98" w14:textId="513AB6C2">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r w:rsidRPr="7CBAACF9" w:rsidR="1814D144">
        <w:rPr>
          <w:rFonts w:ascii="Palatino Linotype" w:hAnsi="Palatino Linotype" w:eastAsia="Palatino Linotype" w:cs="Palatino Linotype"/>
          <w:i w:val="0"/>
          <w:iCs w:val="0"/>
          <w:sz w:val="24"/>
          <w:szCs w:val="24"/>
          <w:lang w:val="pt-BR"/>
        </w:rPr>
        <w:t>A solução do presente caso seria simples, uma vez que se trataria de mera subsunção dos fatos à norma legal, vale dizer, a lei exige a reconstituição da pluralidade de sócios, no prazo de 180 (cento e oitenta) dias, logo, não havendo tal reconstituição, a sociedade seria considerada irregular</w:t>
      </w:r>
      <w:r w:rsidRPr="7CBAACF9" w:rsidR="260EBE9E">
        <w:rPr>
          <w:rFonts w:ascii="Palatino Linotype" w:hAnsi="Palatino Linotype" w:eastAsia="Palatino Linotype" w:cs="Palatino Linotype"/>
          <w:i w:val="0"/>
          <w:iCs w:val="0"/>
          <w:sz w:val="24"/>
          <w:szCs w:val="24"/>
          <w:lang w:val="pt-BR"/>
        </w:rPr>
        <w:t xml:space="preserve"> e, portanto, deveria ser inabilitada.</w:t>
      </w:r>
    </w:p>
    <w:p w:rsidR="007C0369" w:rsidP="7CBAACF9" w:rsidRDefault="00202003" w14:paraId="732DF73C" w14:textId="77528B9A">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p>
    <w:p w:rsidR="007C0369" w:rsidP="7CBAACF9" w:rsidRDefault="00202003" w14:paraId="5216F9EA" w14:textId="25F078E3">
      <w:pPr>
        <w:pStyle w:val="Normal"/>
        <w:spacing w:line="360" w:lineRule="auto"/>
        <w:ind w:firstLine="1417"/>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r w:rsidRPr="7CBAACF9" w:rsidR="629068A2">
        <w:rPr>
          <w:rFonts w:ascii="Palatino Linotype" w:hAnsi="Palatino Linotype" w:eastAsia="Palatino Linotype" w:cs="Palatino Linotype"/>
          <w:i w:val="0"/>
          <w:iCs w:val="0"/>
          <w:sz w:val="24"/>
          <w:szCs w:val="24"/>
          <w:lang w:val="pt-BR"/>
        </w:rPr>
        <w:t>O tema se torna mais delicado a partir da edição da Lei nº. 13.874</w:t>
      </w:r>
      <w:r w:rsidRPr="7CBAACF9" w:rsidR="1DF5FA34">
        <w:rPr>
          <w:rFonts w:ascii="Palatino Linotype" w:hAnsi="Palatino Linotype" w:eastAsia="Palatino Linotype" w:cs="Palatino Linotype"/>
          <w:i w:val="0"/>
          <w:iCs w:val="0"/>
          <w:sz w:val="24"/>
          <w:szCs w:val="24"/>
          <w:lang w:val="pt-BR"/>
        </w:rPr>
        <w:t xml:space="preserve">, de 20 de </w:t>
      </w:r>
      <w:proofErr w:type="gramStart"/>
      <w:r w:rsidRPr="7CBAACF9" w:rsidR="1DF5FA34">
        <w:rPr>
          <w:rFonts w:ascii="Palatino Linotype" w:hAnsi="Palatino Linotype" w:eastAsia="Palatino Linotype" w:cs="Palatino Linotype"/>
          <w:i w:val="0"/>
          <w:iCs w:val="0"/>
          <w:sz w:val="24"/>
          <w:szCs w:val="24"/>
          <w:lang w:val="pt-BR"/>
        </w:rPr>
        <w:t>Setembro</w:t>
      </w:r>
      <w:proofErr w:type="gramEnd"/>
      <w:r w:rsidRPr="7CBAACF9" w:rsidR="1DF5FA34">
        <w:rPr>
          <w:rFonts w:ascii="Palatino Linotype" w:hAnsi="Palatino Linotype" w:eastAsia="Palatino Linotype" w:cs="Palatino Linotype"/>
          <w:i w:val="0"/>
          <w:iCs w:val="0"/>
          <w:sz w:val="24"/>
          <w:szCs w:val="24"/>
          <w:lang w:val="pt-BR"/>
        </w:rPr>
        <w:t xml:space="preserve"> de </w:t>
      </w:r>
      <w:r w:rsidRPr="7CBAACF9" w:rsidR="629068A2">
        <w:rPr>
          <w:rFonts w:ascii="Palatino Linotype" w:hAnsi="Palatino Linotype" w:eastAsia="Palatino Linotype" w:cs="Palatino Linotype"/>
          <w:i w:val="0"/>
          <w:iCs w:val="0"/>
          <w:sz w:val="24"/>
          <w:szCs w:val="24"/>
          <w:lang w:val="pt-BR"/>
        </w:rPr>
        <w:t>2019, denominada de “Declaração de Direitos da Liberdade Econômica”, que alterou o art. 1.052, do Código Civil Brasileiro, para i</w:t>
      </w:r>
      <w:r w:rsidRPr="7CBAACF9" w:rsidR="09225A8F">
        <w:rPr>
          <w:rFonts w:ascii="Palatino Linotype" w:hAnsi="Palatino Linotype" w:eastAsia="Palatino Linotype" w:cs="Palatino Linotype"/>
          <w:i w:val="0"/>
          <w:iCs w:val="0"/>
          <w:sz w:val="24"/>
          <w:szCs w:val="24"/>
          <w:lang w:val="pt-BR"/>
        </w:rPr>
        <w:t xml:space="preserve">nstituir a sociedade </w:t>
      </w:r>
      <w:r w:rsidRPr="7CBAACF9" w:rsidR="2DE2FD45">
        <w:rPr>
          <w:rFonts w:ascii="Palatino Linotype" w:hAnsi="Palatino Linotype" w:eastAsia="Palatino Linotype" w:cs="Palatino Linotype"/>
          <w:i w:val="0"/>
          <w:iCs w:val="0"/>
          <w:sz w:val="24"/>
          <w:szCs w:val="24"/>
          <w:lang w:val="pt-BR"/>
        </w:rPr>
        <w:t xml:space="preserve">unipessoal, que nada mais é do que </w:t>
      </w:r>
      <w:r w:rsidRPr="7CBAACF9" w:rsidR="31C83C39">
        <w:rPr>
          <w:rFonts w:ascii="Palatino Linotype" w:hAnsi="Palatino Linotype" w:eastAsia="Palatino Linotype" w:cs="Palatino Linotype"/>
          <w:i w:val="0"/>
          <w:iCs w:val="0"/>
          <w:sz w:val="24"/>
          <w:szCs w:val="24"/>
          <w:lang w:val="pt-BR"/>
        </w:rPr>
        <w:t xml:space="preserve">uma sociedade limitada </w:t>
      </w:r>
      <w:r w:rsidRPr="7CBAACF9" w:rsidR="2DE2FD45">
        <w:rPr>
          <w:rFonts w:ascii="Palatino Linotype" w:hAnsi="Palatino Linotype" w:eastAsia="Palatino Linotype" w:cs="Palatino Linotype"/>
          <w:i w:val="0"/>
          <w:iCs w:val="0"/>
          <w:sz w:val="24"/>
          <w:szCs w:val="24"/>
          <w:lang w:val="pt-BR"/>
        </w:rPr>
        <w:t>constituída por apenas 01 (uma) pessoa</w:t>
      </w:r>
      <w:r w:rsidRPr="7CBAACF9" w:rsidR="39B1EFED">
        <w:rPr>
          <w:rFonts w:ascii="Palatino Linotype" w:hAnsi="Palatino Linotype" w:eastAsia="Palatino Linotype" w:cs="Palatino Linotype"/>
          <w:i w:val="0"/>
          <w:iCs w:val="0"/>
          <w:sz w:val="24"/>
          <w:szCs w:val="24"/>
          <w:lang w:val="pt-BR"/>
        </w:rPr>
        <w:t>:</w:t>
      </w:r>
    </w:p>
    <w:p w:rsidR="007C0369" w:rsidP="7CBAACF9" w:rsidRDefault="00202003" w14:paraId="564EB89C" w14:textId="60190C35">
      <w:pPr>
        <w:pStyle w:val="Normal"/>
        <w:spacing w:line="360" w:lineRule="auto"/>
        <w:ind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p>
    <w:p w:rsidR="007C0369" w:rsidP="7CBAACF9" w:rsidRDefault="00202003" w14:paraId="4C99E7C8" w14:textId="24BAF5C1">
      <w:pPr>
        <w:pStyle w:val="Normal"/>
        <w:spacing w:line="240" w:lineRule="auto"/>
        <w:ind w:left="2160" w:firstLine="0"/>
        <w:contextualSpacing/>
        <w:jc w:val="both"/>
        <w:rPr>
          <w:rFonts w:ascii="Palatino Linotype" w:hAnsi="Palatino Linotype" w:eastAsia="Palatino Linotype" w:cs="Palatino Linotype"/>
          <w:sz w:val="20"/>
          <w:szCs w:val="20"/>
        </w:rPr>
      </w:pPr>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Art. 1.052. Na sociedade limitada, a responsabilidade de cada sócio é restrita ao valor de suas quotas, mas todos respondem solidariamente pela integralização do capital social.</w:t>
      </w:r>
    </w:p>
    <w:p w:rsidR="007C0369" w:rsidP="7CBAACF9" w:rsidRDefault="00202003" w14:paraId="1DA92862" w14:textId="48E6A9C6">
      <w:pPr>
        <w:pStyle w:val="Normal"/>
        <w:spacing w:line="240" w:lineRule="auto"/>
        <w:ind w:left="2160"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p>
    <w:p w:rsidR="007C0369" w:rsidP="7CBAACF9" w:rsidRDefault="00202003" w14:paraId="7C85B2EA" w14:textId="3669A93A">
      <w:pPr>
        <w:pStyle w:val="Normal"/>
        <w:spacing w:line="240" w:lineRule="auto"/>
        <w:ind w:left="2160" w:firstLine="0"/>
        <w:contextualSpacing/>
        <w:jc w:val="both"/>
        <w:rPr>
          <w:rFonts w:ascii="Palatino Linotype" w:hAnsi="Palatino Linotype" w:eastAsia="Palatino Linotype" w:cs="Palatino Linotype"/>
          <w:sz w:val="20"/>
          <w:szCs w:val="20"/>
        </w:rPr>
      </w:pPr>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 1</w:t>
      </w:r>
      <w:proofErr w:type="gramStart"/>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º  A</w:t>
      </w:r>
      <w:proofErr w:type="gramEnd"/>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 sociedade limitada pode ser constituída por 1 (uma) ou mais pessoas.     </w:t>
      </w:r>
      <w:hyperlink w:anchor="art7" r:id="Rc26b5a9219c74bf7">
        <w:r w:rsidRPr="7CBAACF9" w:rsidR="09225A8F">
          <w:rPr>
            <w:rStyle w:val="Hyperlink"/>
            <w:rFonts w:ascii="Palatino Linotype" w:hAnsi="Palatino Linotype" w:eastAsia="Palatino Linotype" w:cs="Palatino Linotype"/>
            <w:b w:val="0"/>
            <w:bCs w:val="0"/>
            <w:i w:val="0"/>
            <w:iCs w:val="0"/>
            <w:noProof w:val="0"/>
            <w:color w:val="000000" w:themeColor="text1" w:themeTint="FF" w:themeShade="FF"/>
            <w:sz w:val="20"/>
            <w:szCs w:val="20"/>
            <w:lang w:val="pt-BR"/>
          </w:rPr>
          <w:t>(Incluído pela Lei nº 13.874, de 2019)</w:t>
        </w:r>
      </w:hyperlink>
    </w:p>
    <w:p w:rsidR="007C0369" w:rsidP="7CBAACF9" w:rsidRDefault="00202003" w14:paraId="4D64ABEC" w14:textId="2BEF1205">
      <w:pPr>
        <w:pStyle w:val="Normal"/>
        <w:spacing w:line="240" w:lineRule="auto"/>
        <w:ind w:left="2160"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p>
    <w:p w:rsidR="007C0369" w:rsidP="7CBAACF9" w:rsidRDefault="00202003" w14:paraId="285DA3BF" w14:textId="562618D2">
      <w:pPr>
        <w:pStyle w:val="Normal"/>
        <w:spacing w:line="240" w:lineRule="auto"/>
        <w:ind w:left="2160" w:firstLine="0"/>
        <w:contextualSpacing/>
        <w:jc w:val="both"/>
        <w:rPr>
          <w:rFonts w:ascii="Palatino Linotype" w:hAnsi="Palatino Linotype" w:eastAsia="Palatino Linotype" w:cs="Palatino Linotype"/>
          <w:sz w:val="20"/>
          <w:szCs w:val="20"/>
        </w:rPr>
      </w:pPr>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 2</w:t>
      </w:r>
      <w:proofErr w:type="gramStart"/>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º  Se</w:t>
      </w:r>
      <w:proofErr w:type="gramEnd"/>
      <w:r w:rsidRPr="7CBAACF9" w:rsidR="09225A8F">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 for unipessoal, aplicar-se-ão ao documento de constituição do sócio único, no que couber, as disposições sobre o contrato social.     </w:t>
      </w:r>
      <w:hyperlink w:anchor="art7" r:id="R966ac222173e486c">
        <w:r w:rsidRPr="7CBAACF9" w:rsidR="09225A8F">
          <w:rPr>
            <w:rStyle w:val="Hyperlink"/>
            <w:rFonts w:ascii="Palatino Linotype" w:hAnsi="Palatino Linotype" w:eastAsia="Palatino Linotype" w:cs="Palatino Linotype"/>
            <w:b w:val="0"/>
            <w:bCs w:val="0"/>
            <w:i w:val="0"/>
            <w:iCs w:val="0"/>
            <w:noProof w:val="0"/>
            <w:color w:val="000000" w:themeColor="text1" w:themeTint="FF" w:themeShade="FF"/>
            <w:sz w:val="20"/>
            <w:szCs w:val="20"/>
            <w:lang w:val="pt-BR"/>
          </w:rPr>
          <w:t>(Incluído pela Lei nº 13.874, de 2019)</w:t>
        </w:r>
      </w:hyperlink>
    </w:p>
    <w:p w:rsidR="007C0369" w:rsidP="7CBAACF9" w:rsidRDefault="00202003" w14:paraId="53FDF37E" w14:textId="4D6362CE">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p>
    <w:p w:rsidR="007C0369" w:rsidP="7CBAACF9" w:rsidRDefault="00202003" w14:paraId="3C835546" w14:textId="5BF5C945">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r w:rsidRPr="7CBAACF9" w:rsidR="0BBB0502">
        <w:rPr>
          <w:rFonts w:ascii="Palatino Linotype" w:hAnsi="Palatino Linotype" w:eastAsia="Palatino Linotype" w:cs="Palatino Linotype"/>
          <w:i w:val="0"/>
          <w:iCs w:val="0"/>
          <w:sz w:val="24"/>
          <w:szCs w:val="24"/>
          <w:lang w:val="pt-BR"/>
        </w:rPr>
        <w:t>A Lei nº. 13.874/2019 resultou da Conversão da Medida Provisória nº. 881</w:t>
      </w:r>
      <w:r w:rsidRPr="7CBAACF9" w:rsidR="04EDACAA">
        <w:rPr>
          <w:rFonts w:ascii="Palatino Linotype" w:hAnsi="Palatino Linotype" w:eastAsia="Palatino Linotype" w:cs="Palatino Linotype"/>
          <w:i w:val="0"/>
          <w:iCs w:val="0"/>
          <w:sz w:val="24"/>
          <w:szCs w:val="24"/>
          <w:lang w:val="pt-BR"/>
        </w:rPr>
        <w:t xml:space="preserve">/2019. Quanto da tramitação legislativa, </w:t>
      </w:r>
      <w:r w:rsidRPr="7CBAACF9" w:rsidR="28F4E5F1">
        <w:rPr>
          <w:rFonts w:ascii="Palatino Linotype" w:hAnsi="Palatino Linotype" w:eastAsia="Palatino Linotype" w:cs="Palatino Linotype"/>
          <w:i w:val="0"/>
          <w:iCs w:val="0"/>
          <w:sz w:val="24"/>
          <w:szCs w:val="24"/>
          <w:lang w:val="pt-BR"/>
        </w:rPr>
        <w:t xml:space="preserve">o </w:t>
      </w:r>
      <w:r w:rsidRPr="7CBAACF9" w:rsidR="508599CF">
        <w:rPr>
          <w:rFonts w:ascii="Palatino Linotype" w:hAnsi="Palatino Linotype" w:eastAsia="Palatino Linotype" w:cs="Palatino Linotype"/>
          <w:i w:val="0"/>
          <w:iCs w:val="0"/>
          <w:sz w:val="24"/>
          <w:szCs w:val="24"/>
          <w:lang w:val="pt-BR"/>
        </w:rPr>
        <w:t xml:space="preserve">Congresso Nacional </w:t>
      </w:r>
      <w:r w:rsidRPr="7CBAACF9" w:rsidR="357878E3">
        <w:rPr>
          <w:rFonts w:ascii="Palatino Linotype" w:hAnsi="Palatino Linotype" w:eastAsia="Palatino Linotype" w:cs="Palatino Linotype"/>
          <w:i w:val="0"/>
          <w:iCs w:val="0"/>
          <w:sz w:val="24"/>
          <w:szCs w:val="24"/>
          <w:lang w:val="pt-BR"/>
        </w:rPr>
        <w:t xml:space="preserve">previu a revogação do </w:t>
      </w:r>
      <w:r w:rsidRPr="7CBAACF9" w:rsidR="28F4E5F1">
        <w:rPr>
          <w:rFonts w:ascii="Palatino Linotype" w:hAnsi="Palatino Linotype" w:eastAsia="Palatino Linotype" w:cs="Palatino Linotype"/>
          <w:i w:val="0"/>
          <w:iCs w:val="0"/>
          <w:sz w:val="24"/>
          <w:szCs w:val="24"/>
          <w:lang w:val="pt-BR"/>
        </w:rPr>
        <w:t xml:space="preserve">art. 1.033, IV, do Código Civil </w:t>
      </w:r>
      <w:r w:rsidRPr="7CBAACF9" w:rsidR="5CAC47AA">
        <w:rPr>
          <w:rFonts w:ascii="Palatino Linotype" w:hAnsi="Palatino Linotype" w:eastAsia="Palatino Linotype" w:cs="Palatino Linotype"/>
          <w:i w:val="0"/>
          <w:iCs w:val="0"/>
          <w:sz w:val="24"/>
          <w:szCs w:val="24"/>
          <w:lang w:val="pt-BR"/>
        </w:rPr>
        <w:t>Brasileiro, nos termos do art. 19, IV, da Lei nº. 13.874/2019.</w:t>
      </w:r>
    </w:p>
    <w:p w:rsidR="007C0369" w:rsidP="7CBAACF9" w:rsidRDefault="00202003" w14:paraId="16F0A1BC" w14:textId="1A0144ED">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p>
    <w:p w:rsidR="007C0369" w:rsidP="7CBAACF9" w:rsidRDefault="00202003" w14:paraId="532F732C" w14:textId="1E2AF6AD">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r w:rsidRPr="7CBAACF9" w:rsidR="5CAC47AA">
        <w:rPr>
          <w:rFonts w:ascii="Palatino Linotype" w:hAnsi="Palatino Linotype" w:eastAsia="Palatino Linotype" w:cs="Palatino Linotype"/>
          <w:i w:val="0"/>
          <w:iCs w:val="0"/>
          <w:sz w:val="24"/>
          <w:szCs w:val="24"/>
          <w:lang w:val="pt-BR"/>
        </w:rPr>
        <w:t>No entanto, o Presidente da República vetou o referido dispositivo legal, consoante a seguinte Exposição de Motivos:</w:t>
      </w:r>
    </w:p>
    <w:p w:rsidR="007C0369" w:rsidP="7CBAACF9" w:rsidRDefault="00202003" w14:paraId="7F4FD1EE" w14:textId="56717763">
      <w:pPr>
        <w:pStyle w:val="Normal"/>
        <w:spacing w:line="360" w:lineRule="auto"/>
        <w:ind w:firstLine="1417"/>
        <w:contextualSpacing/>
        <w:jc w:val="both"/>
        <w:rPr>
          <w:rFonts w:ascii="Palatino Linotype" w:hAnsi="Palatino Linotype" w:eastAsia="Palatino Linotype" w:cs="Palatino Linotype"/>
          <w:i w:val="0"/>
          <w:iCs w:val="0"/>
          <w:sz w:val="24"/>
          <w:szCs w:val="24"/>
          <w:lang w:val="pt-BR"/>
        </w:rPr>
      </w:pPr>
    </w:p>
    <w:p w:rsidR="007C0369" w:rsidP="7CBAACF9" w:rsidRDefault="00202003" w14:paraId="795F1823" w14:textId="145CD311">
      <w:pPr>
        <w:pStyle w:val="Normal"/>
        <w:spacing w:line="240" w:lineRule="auto"/>
        <w:ind w:left="2160" w:firstLine="0"/>
        <w:contextualSpacing/>
        <w:jc w:val="both"/>
        <w:rPr>
          <w:rFonts w:ascii="Palatino Linotype" w:hAnsi="Palatino Linotype" w:eastAsia="Palatino Linotype" w:cs="Palatino Linotype"/>
          <w:b w:val="0"/>
          <w:bCs w:val="0"/>
          <w:i w:val="0"/>
          <w:iCs w:val="0"/>
          <w:noProof w:val="0"/>
          <w:color w:val="000000" w:themeColor="text1" w:themeTint="FF" w:themeShade="FF"/>
          <w:sz w:val="20"/>
          <w:szCs w:val="20"/>
          <w:lang w:val="pt-BR"/>
        </w:rPr>
      </w:pPr>
      <w:r w:rsidRPr="7CBAACF9" w:rsidR="0BBB0502">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A propositura legislativa, ao revogar o inciso IV do caput do art. 1.033 do Código Civil, que previa a dissolução da sociedade empresária por falta de pluralidade de sócios, não reconstituída no prazo de 180 dias, gera insegurança jurídica, pois os seus efeitos jurídicos não são de aplicação exclusiva às sociedades limitadas, de forma que sua retirada do ordenamento jurídico poderá gerar transtornos para as demais sociedades contratuais, simples ou empresárias, regulados pelo Direito Civil, tais como a sociedade em nome coletivo e a sociedade em comandita simples. Ademais, há contrariedade ao interesse público, tendo em vista que a exceção prevista no referido inciso IV do caput do art. 1.033 do Código Civil prestigia os princípios da preservação e função sociais da empresa, uma vez que permite a </w:t>
      </w:r>
      <w:proofErr w:type="spellStart"/>
      <w:r w:rsidRPr="7CBAACF9" w:rsidR="0BBB0502">
        <w:rPr>
          <w:rFonts w:ascii="Palatino Linotype" w:hAnsi="Palatino Linotype" w:eastAsia="Palatino Linotype" w:cs="Palatino Linotype"/>
          <w:b w:val="0"/>
          <w:bCs w:val="0"/>
          <w:i w:val="0"/>
          <w:iCs w:val="0"/>
          <w:noProof w:val="0"/>
          <w:color w:val="000000" w:themeColor="text1" w:themeTint="FF" w:themeShade="FF"/>
          <w:sz w:val="20"/>
          <w:szCs w:val="20"/>
          <w:lang w:val="pt-BR"/>
        </w:rPr>
        <w:t>unipessoalidade</w:t>
      </w:r>
      <w:proofErr w:type="spellEnd"/>
      <w:r w:rsidRPr="7CBAACF9" w:rsidR="0BBB0502">
        <w:rPr>
          <w:rFonts w:ascii="Palatino Linotype" w:hAnsi="Palatino Linotype" w:eastAsia="Palatino Linotype" w:cs="Palatino Linotype"/>
          <w:b w:val="0"/>
          <w:bCs w:val="0"/>
          <w:i w:val="0"/>
          <w:iCs w:val="0"/>
          <w:noProof w:val="0"/>
          <w:color w:val="000000" w:themeColor="text1" w:themeTint="FF" w:themeShade="FF"/>
          <w:sz w:val="20"/>
          <w:szCs w:val="20"/>
          <w:lang w:val="pt-BR"/>
        </w:rPr>
        <w:t xml:space="preserve"> superveniente e transitória, em que uma sociedade simples ou empresária, reduzida a um único sócio, seja em decorrência de retirada, exclusão ou falecimento, ou outro fator alheio à vontade, poderia se recompor no prazo de 180 dias.</w:t>
      </w:r>
    </w:p>
    <w:p w:rsidR="007C0369" w:rsidP="7CBAACF9" w:rsidRDefault="00202003" w14:paraId="440D2632" w14:textId="31DE46EA">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7CBAACF9" w:rsidRDefault="00202003" w14:paraId="143926B0" w14:textId="5517BCF4">
      <w:pPr>
        <w:pStyle w:val="Normal"/>
        <w:spacing w:line="360" w:lineRule="auto"/>
        <w:ind w:firstLine="1417"/>
        <w:contextualSpacing/>
        <w:jc w:val="both"/>
        <w:rPr>
          <w:rFonts w:ascii="Palatino Linotype" w:hAnsi="Palatino Linotype" w:eastAsia="Palatino Linotype" w:cs="Palatino Linotype"/>
          <w:sz w:val="24"/>
          <w:szCs w:val="24"/>
          <w:lang w:val="pt-BR"/>
        </w:rPr>
      </w:pPr>
      <w:r w:rsidRPr="7CBAACF9" w:rsidR="55E8F14E">
        <w:rPr>
          <w:rFonts w:ascii="Palatino Linotype" w:hAnsi="Palatino Linotype" w:eastAsia="Palatino Linotype" w:cs="Palatino Linotype"/>
          <w:sz w:val="24"/>
          <w:szCs w:val="24"/>
          <w:lang w:val="pt-BR"/>
        </w:rPr>
        <w:t>De fato, o art. 1.033, IV, do Código Civil, não se aplica apenas às sociedades limitadas</w:t>
      </w:r>
      <w:r w:rsidRPr="7CBAACF9" w:rsidR="5AB78EB4">
        <w:rPr>
          <w:rFonts w:ascii="Palatino Linotype" w:hAnsi="Palatino Linotype" w:eastAsia="Palatino Linotype" w:cs="Palatino Linotype"/>
          <w:sz w:val="24"/>
          <w:szCs w:val="24"/>
          <w:lang w:val="pt-BR"/>
        </w:rPr>
        <w:t>, motivo pelo qual sua revogação impactaria em outro tipo societários</w:t>
      </w:r>
      <w:r w:rsidRPr="7CBAACF9" w:rsidR="55E8F14E">
        <w:rPr>
          <w:rFonts w:ascii="Palatino Linotype" w:hAnsi="Palatino Linotype" w:eastAsia="Palatino Linotype" w:cs="Palatino Linotype"/>
          <w:sz w:val="24"/>
          <w:szCs w:val="24"/>
          <w:lang w:val="pt-BR"/>
        </w:rPr>
        <w:t xml:space="preserve">. </w:t>
      </w:r>
    </w:p>
    <w:p w:rsidR="007C0369" w:rsidP="7CBAACF9" w:rsidRDefault="00202003" w14:paraId="42BB66D2" w14:textId="2C7422BB">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7CBAACF9" w:rsidRDefault="00202003" w14:paraId="12597D91" w14:textId="3B29FE46">
      <w:pPr>
        <w:pStyle w:val="Normal"/>
        <w:spacing w:line="360" w:lineRule="auto"/>
        <w:ind w:firstLine="1417"/>
        <w:contextualSpacing/>
        <w:jc w:val="both"/>
        <w:rPr>
          <w:rFonts w:ascii="Palatino Linotype" w:hAnsi="Palatino Linotype" w:eastAsia="Palatino Linotype" w:cs="Palatino Linotype"/>
          <w:sz w:val="24"/>
          <w:szCs w:val="24"/>
          <w:lang w:val="pt-BR"/>
        </w:rPr>
      </w:pPr>
      <w:r w:rsidRPr="7CBAACF9" w:rsidR="55E8F14E">
        <w:rPr>
          <w:rFonts w:ascii="Palatino Linotype" w:hAnsi="Palatino Linotype" w:eastAsia="Palatino Linotype" w:cs="Palatino Linotype"/>
          <w:sz w:val="24"/>
          <w:szCs w:val="24"/>
          <w:lang w:val="pt-BR"/>
        </w:rPr>
        <w:t>No entanto, a permanência do referido dispositivo legal trouxe aparente antinomia no ordenamento jurídico, uma vez que o art. 1.052,</w:t>
      </w:r>
      <w:r w:rsidRPr="7CBAACF9" w:rsidR="011A3DE7">
        <w:rPr>
          <w:rFonts w:ascii="Palatino Linotype" w:hAnsi="Palatino Linotype" w:eastAsia="Palatino Linotype" w:cs="Palatino Linotype"/>
          <w:sz w:val="24"/>
          <w:szCs w:val="24"/>
          <w:lang w:val="pt-BR"/>
        </w:rPr>
        <w:t xml:space="preserve"> § 1º, do Código Civil,</w:t>
      </w:r>
      <w:r w:rsidRPr="7CBAACF9" w:rsidR="55E8F14E">
        <w:rPr>
          <w:rFonts w:ascii="Palatino Linotype" w:hAnsi="Palatino Linotype" w:eastAsia="Palatino Linotype" w:cs="Palatino Linotype"/>
          <w:sz w:val="24"/>
          <w:szCs w:val="24"/>
          <w:lang w:val="pt-BR"/>
        </w:rPr>
        <w:t xml:space="preserve"> por um lado, pe</w:t>
      </w:r>
      <w:r w:rsidRPr="7CBAACF9" w:rsidR="1071EE9F">
        <w:rPr>
          <w:rFonts w:ascii="Palatino Linotype" w:hAnsi="Palatino Linotype" w:eastAsia="Palatino Linotype" w:cs="Palatino Linotype"/>
          <w:sz w:val="24"/>
          <w:szCs w:val="24"/>
          <w:lang w:val="pt-BR"/>
        </w:rPr>
        <w:t>rmite</w:t>
      </w:r>
      <w:r w:rsidRPr="7CBAACF9" w:rsidR="78422B73">
        <w:rPr>
          <w:rFonts w:ascii="Palatino Linotype" w:hAnsi="Palatino Linotype" w:eastAsia="Palatino Linotype" w:cs="Palatino Linotype"/>
          <w:sz w:val="24"/>
          <w:szCs w:val="24"/>
          <w:lang w:val="pt-BR"/>
        </w:rPr>
        <w:t xml:space="preserve"> a existência de sociedade limitada unipessoal e, por outro lado, o art. 1.033, IV, do Código Civil - também aplicável às sociedades limitadas - prevê que a </w:t>
      </w:r>
      <w:proofErr w:type="spellStart"/>
      <w:r w:rsidRPr="7CBAACF9" w:rsidR="78422B73">
        <w:rPr>
          <w:rFonts w:ascii="Palatino Linotype" w:hAnsi="Palatino Linotype" w:eastAsia="Palatino Linotype" w:cs="Palatino Linotype"/>
          <w:sz w:val="24"/>
          <w:szCs w:val="24"/>
          <w:lang w:val="pt-BR"/>
        </w:rPr>
        <w:t>unipessoalidade</w:t>
      </w:r>
      <w:proofErr w:type="spellEnd"/>
      <w:r w:rsidRPr="7CBAACF9" w:rsidR="78422B73">
        <w:rPr>
          <w:rFonts w:ascii="Palatino Linotype" w:hAnsi="Palatino Linotype" w:eastAsia="Palatino Linotype" w:cs="Palatino Linotype"/>
          <w:sz w:val="24"/>
          <w:szCs w:val="24"/>
          <w:lang w:val="pt-BR"/>
        </w:rPr>
        <w:t xml:space="preserve"> só é válida</w:t>
      </w:r>
      <w:r w:rsidRPr="7CBAACF9" w:rsidR="19133B15">
        <w:rPr>
          <w:rFonts w:ascii="Palatino Linotype" w:hAnsi="Palatino Linotype" w:eastAsia="Palatino Linotype" w:cs="Palatino Linotype"/>
          <w:sz w:val="24"/>
          <w:szCs w:val="24"/>
          <w:lang w:val="pt-BR"/>
        </w:rPr>
        <w:t xml:space="preserve"> durante o período de 180 (cento e oitenta) dias, sob pena de figurar como sociedade irregular, passível de dissolução.</w:t>
      </w:r>
    </w:p>
    <w:p w:rsidR="007C0369" w:rsidP="7CBAACF9" w:rsidRDefault="00202003" w14:paraId="3C89DCEE" w14:textId="67CBC12E">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7CBAACF9" w:rsidRDefault="00202003" w14:paraId="2F0BB9FE" w14:textId="070BE6B8">
      <w:pPr>
        <w:pStyle w:val="Normal"/>
        <w:spacing w:line="360" w:lineRule="auto"/>
        <w:ind w:firstLine="1417"/>
        <w:contextualSpacing/>
        <w:jc w:val="both"/>
        <w:rPr>
          <w:rFonts w:ascii="Palatino Linotype" w:hAnsi="Palatino Linotype" w:eastAsia="Palatino Linotype" w:cs="Palatino Linotype"/>
          <w:sz w:val="24"/>
          <w:szCs w:val="24"/>
          <w:lang w:val="pt-BR"/>
        </w:rPr>
      </w:pPr>
      <w:r w:rsidRPr="7CBAACF9" w:rsidR="6A8A3B67">
        <w:rPr>
          <w:rFonts w:ascii="Palatino Linotype" w:hAnsi="Palatino Linotype" w:eastAsia="Palatino Linotype" w:cs="Palatino Linotype"/>
          <w:sz w:val="24"/>
          <w:szCs w:val="24"/>
          <w:lang w:val="pt-BR"/>
        </w:rPr>
        <w:t xml:space="preserve">Recentemente, a Instrução Normativa nº. 81, de 10/06/2020, do Departamento Nacional de Registro Empresarial e Integração (DREI), </w:t>
      </w:r>
      <w:r w:rsidRPr="7CBAACF9" w:rsidR="57B531B6">
        <w:rPr>
          <w:rFonts w:ascii="Palatino Linotype" w:hAnsi="Palatino Linotype" w:eastAsia="Palatino Linotype" w:cs="Palatino Linotype"/>
          <w:sz w:val="24"/>
          <w:szCs w:val="24"/>
          <w:lang w:val="pt-BR"/>
        </w:rPr>
        <w:t>passou a dispor que:</w:t>
      </w:r>
    </w:p>
    <w:p w:rsidR="007C0369" w:rsidP="7CBAACF9" w:rsidRDefault="00202003" w14:paraId="66EE097F" w14:textId="6BDCD295">
      <w:pPr>
        <w:spacing w:after="160" w:line="259" w:lineRule="auto"/>
        <w:ind/>
        <w:contextualSpacing/>
        <w:rPr>
          <w:rFonts w:ascii="Calibri" w:hAnsi="Calibri" w:eastAsia="Calibri" w:cs="Calibri"/>
          <w:b w:val="0"/>
          <w:bCs w:val="0"/>
          <w:i w:val="0"/>
          <w:iCs w:val="0"/>
          <w:noProof w:val="0"/>
          <w:color w:val="000000" w:themeColor="text1" w:themeTint="FF" w:themeShade="FF"/>
          <w:sz w:val="22"/>
          <w:szCs w:val="22"/>
          <w:lang w:val="pt-BR"/>
        </w:rPr>
      </w:pPr>
    </w:p>
    <w:p w:rsidR="007C0369" w:rsidP="7CBAACF9" w:rsidRDefault="00202003" w14:paraId="2A49E969" w14:textId="4A6BAA70">
      <w:pPr>
        <w:spacing w:after="0" w:afterAutospacing="off" w:line="240" w:lineRule="auto"/>
        <w:ind w:left="2160"/>
        <w:contextualSpacing/>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1"/>
          <w:bCs w:val="1"/>
          <w:i w:val="0"/>
          <w:iCs w:val="0"/>
          <w:noProof w:val="0"/>
          <w:color w:val="auto"/>
          <w:sz w:val="20"/>
          <w:szCs w:val="20"/>
          <w:lang w:val="pt-BR"/>
        </w:rPr>
        <w:t>CAPÍTULO II - PROCEDIMENTOS DE REGISTRO</w:t>
      </w:r>
    </w:p>
    <w:p w:rsidR="007C0369" w:rsidP="7CBAACF9" w:rsidRDefault="00202003" w14:paraId="6D29F097" w14:textId="49BA6C72">
      <w:pPr>
        <w:spacing w:after="0" w:afterAutospacing="off" w:line="240" w:lineRule="auto"/>
        <w:ind w:left="2160"/>
        <w:contextualSpacing/>
        <w:jc w:val="both"/>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1"/>
          <w:bCs w:val="1"/>
          <w:i w:val="0"/>
          <w:iCs w:val="0"/>
          <w:noProof w:val="0"/>
          <w:color w:val="auto"/>
          <w:sz w:val="20"/>
          <w:szCs w:val="20"/>
          <w:lang w:val="pt-BR"/>
        </w:rPr>
        <w:t>SEÇÃO I - CONSTITUIÇÃO</w:t>
      </w:r>
    </w:p>
    <w:p w:rsidR="007C0369" w:rsidP="7CBAACF9" w:rsidRDefault="00202003" w14:paraId="007076E9" w14:textId="2B3E988C">
      <w:pPr>
        <w:spacing w:after="0" w:afterAutospacing="off" w:line="240" w:lineRule="auto"/>
        <w:ind w:left="2160"/>
        <w:contextualSpacing/>
        <w:jc w:val="both"/>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0"/>
          <w:bCs w:val="0"/>
          <w:i w:val="0"/>
          <w:iCs w:val="0"/>
          <w:noProof w:val="0"/>
          <w:color w:val="auto"/>
          <w:sz w:val="20"/>
          <w:szCs w:val="20"/>
          <w:lang w:val="pt-BR"/>
        </w:rPr>
        <w:t>A Sociedade Limitada poderá ser composta por uma ou mais pessoas.</w:t>
      </w:r>
    </w:p>
    <w:p w:rsidR="007C0369" w:rsidP="7CBAACF9" w:rsidRDefault="00202003" w14:paraId="007F074D" w14:textId="70245542">
      <w:pPr>
        <w:spacing w:after="0" w:afterAutospacing="off" w:line="240" w:lineRule="auto"/>
        <w:ind w:left="2160"/>
        <w:contextualSpacing/>
        <w:jc w:val="both"/>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0"/>
          <w:bCs w:val="0"/>
          <w:i w:val="0"/>
          <w:iCs w:val="0"/>
          <w:noProof w:val="0"/>
          <w:color w:val="auto"/>
          <w:sz w:val="20"/>
          <w:szCs w:val="20"/>
          <w:lang w:val="pt-BR"/>
        </w:rPr>
        <w:t xml:space="preserve">A </w:t>
      </w:r>
      <w:proofErr w:type="spellStart"/>
      <w:r w:rsidRPr="7CBAACF9" w:rsidR="7F61D06C">
        <w:rPr>
          <w:rFonts w:ascii="Palatino Linotype" w:hAnsi="Palatino Linotype" w:eastAsia="Palatino Linotype" w:cs="Palatino Linotype"/>
          <w:b w:val="0"/>
          <w:bCs w:val="0"/>
          <w:i w:val="0"/>
          <w:iCs w:val="0"/>
          <w:noProof w:val="0"/>
          <w:color w:val="auto"/>
          <w:sz w:val="20"/>
          <w:szCs w:val="20"/>
          <w:lang w:val="pt-BR"/>
        </w:rPr>
        <w:t>unipessoalidade</w:t>
      </w:r>
      <w:proofErr w:type="spellEnd"/>
      <w:r w:rsidRPr="7CBAACF9" w:rsidR="7F61D06C">
        <w:rPr>
          <w:rFonts w:ascii="Palatino Linotype" w:hAnsi="Palatino Linotype" w:eastAsia="Palatino Linotype" w:cs="Palatino Linotype"/>
          <w:b w:val="0"/>
          <w:bCs w:val="0"/>
          <w:i w:val="0"/>
          <w:iCs w:val="0"/>
          <w:noProof w:val="0"/>
          <w:color w:val="auto"/>
          <w:sz w:val="20"/>
          <w:szCs w:val="20"/>
          <w:lang w:val="pt-BR"/>
        </w:rPr>
        <w:t xml:space="preserve"> permitida pelo § 1° do art. 1.052 do Código Civil poderá decorrer de constituição originária, </w:t>
      </w:r>
      <w:r w:rsidRPr="7CBAACF9" w:rsidR="7F61D06C">
        <w:rPr>
          <w:rFonts w:ascii="Palatino Linotype" w:hAnsi="Palatino Linotype" w:eastAsia="Palatino Linotype" w:cs="Palatino Linotype"/>
          <w:b w:val="1"/>
          <w:bCs w:val="1"/>
          <w:i w:val="0"/>
          <w:iCs w:val="0"/>
          <w:noProof w:val="0"/>
          <w:color w:val="auto"/>
          <w:sz w:val="20"/>
          <w:szCs w:val="20"/>
          <w:u w:val="single"/>
          <w:lang w:val="pt-BR"/>
        </w:rPr>
        <w:t>saída de sócios da sociedade por meio de alteração contratual</w:t>
      </w:r>
      <w:r w:rsidRPr="7CBAACF9" w:rsidR="7F61D06C">
        <w:rPr>
          <w:rFonts w:ascii="Palatino Linotype" w:hAnsi="Palatino Linotype" w:eastAsia="Palatino Linotype" w:cs="Palatino Linotype"/>
          <w:b w:val="0"/>
          <w:bCs w:val="0"/>
          <w:i w:val="0"/>
          <w:iCs w:val="0"/>
          <w:noProof w:val="0"/>
          <w:color w:val="auto"/>
          <w:sz w:val="20"/>
          <w:szCs w:val="20"/>
          <w:lang w:val="pt-BR"/>
        </w:rPr>
        <w:t>, bem como de transformação, fusão, cisão, conversão etc.</w:t>
      </w:r>
    </w:p>
    <w:p w:rsidR="007C0369" w:rsidP="7CBAACF9" w:rsidRDefault="00202003" w14:paraId="600B551E" w14:textId="6D439E61">
      <w:pPr>
        <w:spacing w:after="0" w:afterAutospacing="off" w:line="240" w:lineRule="auto"/>
        <w:ind w:left="2160"/>
        <w:contextualSpacing/>
        <w:jc w:val="both"/>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0"/>
          <w:bCs w:val="0"/>
          <w:i w:val="0"/>
          <w:iCs w:val="0"/>
          <w:noProof w:val="0"/>
          <w:color w:val="auto"/>
          <w:sz w:val="20"/>
          <w:szCs w:val="20"/>
          <w:lang w:val="pt-BR"/>
        </w:rPr>
        <w:t>Notas:</w:t>
      </w:r>
    </w:p>
    <w:p w:rsidR="007C0369" w:rsidP="7CBAACF9" w:rsidRDefault="00202003" w14:paraId="00925EED" w14:textId="2985EA65">
      <w:pPr>
        <w:spacing w:after="0" w:afterAutospacing="off" w:line="240" w:lineRule="auto"/>
        <w:ind w:left="2160"/>
        <w:contextualSpacing/>
        <w:jc w:val="both"/>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0"/>
          <w:bCs w:val="0"/>
          <w:i w:val="0"/>
          <w:iCs w:val="0"/>
          <w:noProof w:val="0"/>
          <w:color w:val="auto"/>
          <w:sz w:val="20"/>
          <w:szCs w:val="20"/>
          <w:lang w:val="pt-BR"/>
        </w:rPr>
        <w:t>I. Aplicam-se à sociedade limitada com um sócio, no que couber, todas as regras aplicáveis à sociedade limitada constituída por dois ou mais sócios de que trata este Manual de Registro.</w:t>
      </w:r>
    </w:p>
    <w:p w:rsidR="007C0369" w:rsidP="7CBAACF9" w:rsidRDefault="00202003" w14:paraId="744A4946" w14:textId="59BCAB5F">
      <w:pPr>
        <w:spacing w:after="0" w:afterAutospacing="off" w:line="240" w:lineRule="auto"/>
        <w:ind w:left="2160"/>
        <w:contextualSpacing/>
        <w:jc w:val="both"/>
        <w:rPr>
          <w:rFonts w:ascii="Palatino Linotype" w:hAnsi="Palatino Linotype" w:eastAsia="Palatino Linotype" w:cs="Palatino Linotype"/>
          <w:b w:val="0"/>
          <w:bCs w:val="0"/>
          <w:i w:val="0"/>
          <w:iCs w:val="0"/>
          <w:noProof w:val="0"/>
          <w:color w:val="auto"/>
          <w:sz w:val="20"/>
          <w:szCs w:val="20"/>
          <w:lang w:val="pt-BR"/>
        </w:rPr>
      </w:pPr>
      <w:r w:rsidRPr="7CBAACF9" w:rsidR="7F61D06C">
        <w:rPr>
          <w:rFonts w:ascii="Palatino Linotype" w:hAnsi="Palatino Linotype" w:eastAsia="Palatino Linotype" w:cs="Palatino Linotype"/>
          <w:b w:val="0"/>
          <w:bCs w:val="0"/>
          <w:i w:val="0"/>
          <w:iCs w:val="0"/>
          <w:noProof w:val="0"/>
          <w:color w:val="auto"/>
          <w:sz w:val="20"/>
          <w:szCs w:val="20"/>
          <w:lang w:val="pt-BR"/>
        </w:rPr>
        <w:t>II. O ato constitutivo do sócio único observará as disposições sobre o contrato social de sociedade limitada.</w:t>
      </w:r>
    </w:p>
    <w:p w:rsidR="007C0369" w:rsidP="7CBAACF9" w:rsidRDefault="00202003" w14:paraId="37FA9AFF" w14:textId="023F3A82">
      <w:pPr>
        <w:spacing w:after="0" w:afterAutospacing="off" w:line="240" w:lineRule="auto"/>
        <w:ind w:left="2160"/>
        <w:contextualSpacing/>
        <w:jc w:val="both"/>
        <w:rPr>
          <w:rFonts w:ascii="Palatino Linotype" w:hAnsi="Palatino Linotype" w:eastAsia="Palatino Linotype" w:cs="Palatino Linotype"/>
          <w:b w:val="1"/>
          <w:bCs w:val="1"/>
          <w:i w:val="0"/>
          <w:iCs w:val="0"/>
          <w:noProof w:val="0"/>
          <w:color w:val="auto"/>
          <w:sz w:val="20"/>
          <w:szCs w:val="20"/>
          <w:u w:val="single"/>
          <w:lang w:val="pt-BR"/>
        </w:rPr>
      </w:pPr>
      <w:r w:rsidRPr="7CBAACF9" w:rsidR="7F61D06C">
        <w:rPr>
          <w:rFonts w:ascii="Palatino Linotype" w:hAnsi="Palatino Linotype" w:eastAsia="Palatino Linotype" w:cs="Palatino Linotype"/>
          <w:b w:val="1"/>
          <w:bCs w:val="1"/>
          <w:i w:val="0"/>
          <w:iCs w:val="0"/>
          <w:noProof w:val="0"/>
          <w:color w:val="auto"/>
          <w:sz w:val="20"/>
          <w:szCs w:val="20"/>
          <w:u w:val="single"/>
          <w:lang w:val="pt-BR"/>
        </w:rPr>
        <w:t xml:space="preserve">III. Não se aplica às sociedades limitadas, que estiverem em condição de </w:t>
      </w:r>
      <w:proofErr w:type="spellStart"/>
      <w:r w:rsidRPr="7CBAACF9" w:rsidR="7F61D06C">
        <w:rPr>
          <w:rFonts w:ascii="Palatino Linotype" w:hAnsi="Palatino Linotype" w:eastAsia="Palatino Linotype" w:cs="Palatino Linotype"/>
          <w:b w:val="1"/>
          <w:bCs w:val="1"/>
          <w:i w:val="0"/>
          <w:iCs w:val="0"/>
          <w:noProof w:val="0"/>
          <w:color w:val="auto"/>
          <w:sz w:val="20"/>
          <w:szCs w:val="20"/>
          <w:u w:val="single"/>
          <w:lang w:val="pt-BR"/>
        </w:rPr>
        <w:t>unipessoalidade</w:t>
      </w:r>
      <w:proofErr w:type="spellEnd"/>
      <w:r w:rsidRPr="7CBAACF9" w:rsidR="7F61D06C">
        <w:rPr>
          <w:rFonts w:ascii="Palatino Linotype" w:hAnsi="Palatino Linotype" w:eastAsia="Palatino Linotype" w:cs="Palatino Linotype"/>
          <w:b w:val="1"/>
          <w:bCs w:val="1"/>
          <w:i w:val="0"/>
          <w:iCs w:val="0"/>
          <w:noProof w:val="0"/>
          <w:color w:val="auto"/>
          <w:sz w:val="20"/>
          <w:szCs w:val="20"/>
          <w:u w:val="single"/>
          <w:lang w:val="pt-BR"/>
        </w:rPr>
        <w:t>, o disposto no inciso IV do art. 1.033 do Código Civil.</w:t>
      </w:r>
    </w:p>
    <w:p w:rsidR="007C0369" w:rsidP="55EBC6F0" w:rsidRDefault="00202003" w14:paraId="7DC5ACEC" w14:textId="2C2EB5F8">
      <w:pPr>
        <w:pStyle w:val="Normal"/>
        <w:spacing w:line="360" w:lineRule="auto"/>
        <w:ind w:firstLine="1417"/>
        <w:contextualSpacing/>
        <w:jc w:val="both"/>
        <w:rPr>
          <w:rFonts w:ascii="Palatino Linotype" w:hAnsi="Palatino Linotype" w:eastAsia="Palatino Linotype" w:cs="Palatino Linotype"/>
          <w:sz w:val="24"/>
          <w:szCs w:val="24"/>
          <w:lang w:val="pt-BR"/>
        </w:rPr>
      </w:pPr>
    </w:p>
    <w:p w:rsidR="007C0369" w:rsidP="55EBC6F0" w:rsidRDefault="00202003" w14:paraId="3B53F4BF" w14:textId="790398A9">
      <w:pPr>
        <w:pStyle w:val="Normal"/>
        <w:spacing w:line="360" w:lineRule="auto"/>
        <w:ind w:firstLine="1417"/>
        <w:contextualSpacing/>
        <w:jc w:val="both"/>
        <w:rPr>
          <w:rFonts w:ascii="Palatino Linotype" w:hAnsi="Palatino Linotype" w:eastAsia="Palatino Linotype" w:cs="Palatino Linotype"/>
          <w:sz w:val="24"/>
          <w:szCs w:val="24"/>
          <w:lang w:val="pt-BR"/>
        </w:rPr>
      </w:pPr>
      <w:r w:rsidRPr="7CBAACF9" w:rsidR="6FF87EE9">
        <w:rPr>
          <w:rFonts w:ascii="Palatino Linotype" w:hAnsi="Palatino Linotype" w:eastAsia="Palatino Linotype" w:cs="Palatino Linotype"/>
          <w:sz w:val="24"/>
          <w:szCs w:val="24"/>
          <w:lang w:val="pt-BR"/>
        </w:rPr>
        <w:t xml:space="preserve">Verifica-se, portanto, que a </w:t>
      </w:r>
      <w:r w:rsidRPr="7CBAACF9" w:rsidR="607307A3">
        <w:rPr>
          <w:rFonts w:ascii="Palatino Linotype" w:hAnsi="Palatino Linotype" w:eastAsia="Palatino Linotype" w:cs="Palatino Linotype"/>
          <w:sz w:val="24"/>
          <w:szCs w:val="24"/>
          <w:lang w:val="pt-BR"/>
        </w:rPr>
        <w:t>exigência constante do art. 1.033, IV, do Código Civil, não se aplica às sociedades limitadas unipessoais</w:t>
      </w:r>
      <w:r w:rsidRPr="7CBAACF9" w:rsidR="5BA92E06">
        <w:rPr>
          <w:rFonts w:ascii="Palatino Linotype" w:hAnsi="Palatino Linotype" w:eastAsia="Palatino Linotype" w:cs="Palatino Linotype"/>
          <w:sz w:val="24"/>
          <w:szCs w:val="24"/>
          <w:lang w:val="pt-BR"/>
        </w:rPr>
        <w:t>, razão pela qual a licitante não deve ser inabilitada</w:t>
      </w:r>
      <w:r w:rsidRPr="7CBAACF9" w:rsidR="67EB8E90">
        <w:rPr>
          <w:rFonts w:ascii="Palatino Linotype" w:hAnsi="Palatino Linotype" w:eastAsia="Palatino Linotype" w:cs="Palatino Linotype"/>
          <w:sz w:val="24"/>
          <w:szCs w:val="24"/>
          <w:lang w:val="pt-BR"/>
        </w:rPr>
        <w:t xml:space="preserve"> sob esse fundamento.</w:t>
      </w:r>
    </w:p>
    <w:p w:rsidR="7CBAACF9" w:rsidP="7CBAACF9" w:rsidRDefault="7CBAACF9" w14:paraId="16B7A066" w14:textId="5205194C">
      <w:pPr>
        <w:pStyle w:val="Normal"/>
        <w:spacing w:line="360" w:lineRule="auto"/>
        <w:ind w:firstLine="1417"/>
        <w:jc w:val="both"/>
        <w:rPr>
          <w:rFonts w:ascii="Palatino Linotype" w:hAnsi="Palatino Linotype" w:eastAsia="Palatino Linotype" w:cs="Palatino Linotype"/>
          <w:sz w:val="24"/>
          <w:szCs w:val="24"/>
          <w:lang w:val="pt-BR"/>
        </w:rPr>
      </w:pPr>
    </w:p>
    <w:p w:rsidR="0E8F619B" w:rsidP="7CBAACF9" w:rsidRDefault="0E8F619B" w14:paraId="0E072174" w14:textId="6E8D1932">
      <w:pPr>
        <w:pStyle w:val="Normal"/>
        <w:spacing w:line="360" w:lineRule="auto"/>
        <w:ind w:firstLine="1417"/>
        <w:jc w:val="both"/>
        <w:rPr>
          <w:rFonts w:ascii="Palatino Linotype" w:hAnsi="Palatino Linotype" w:eastAsia="Palatino Linotype" w:cs="Palatino Linotype"/>
          <w:sz w:val="24"/>
          <w:szCs w:val="24"/>
          <w:lang w:val="pt-BR"/>
        </w:rPr>
      </w:pPr>
      <w:r w:rsidRPr="7CBAACF9" w:rsidR="0E8F619B">
        <w:rPr>
          <w:rFonts w:ascii="Palatino Linotype" w:hAnsi="Palatino Linotype" w:eastAsia="Palatino Linotype" w:cs="Palatino Linotype"/>
          <w:sz w:val="24"/>
          <w:szCs w:val="24"/>
          <w:lang w:val="pt-BR"/>
        </w:rPr>
        <w:t>Ademais</w:t>
      </w:r>
      <w:r w:rsidRPr="7CBAACF9" w:rsidR="67EB8E90">
        <w:rPr>
          <w:rFonts w:ascii="Palatino Linotype" w:hAnsi="Palatino Linotype" w:eastAsia="Palatino Linotype" w:cs="Palatino Linotype"/>
          <w:sz w:val="24"/>
          <w:szCs w:val="24"/>
          <w:lang w:val="pt-BR"/>
        </w:rPr>
        <w:t>, verifica-se que a Medida Provisória nº. 881/2019 teve sua vigência iniciada em 30/04/2019 e a Lei nº. 13.8</w:t>
      </w:r>
      <w:r w:rsidRPr="7CBAACF9" w:rsidR="50089C92">
        <w:rPr>
          <w:rFonts w:ascii="Palatino Linotype" w:hAnsi="Palatino Linotype" w:eastAsia="Palatino Linotype" w:cs="Palatino Linotype"/>
          <w:sz w:val="24"/>
          <w:szCs w:val="24"/>
          <w:lang w:val="pt-BR"/>
        </w:rPr>
        <w:t xml:space="preserve">74/2019, em 20/09/2019, enquanto a alteração contratual </w:t>
      </w:r>
      <w:r w:rsidRPr="7CBAACF9" w:rsidR="6A9A8C88">
        <w:rPr>
          <w:rFonts w:ascii="Palatino Linotype" w:hAnsi="Palatino Linotype" w:eastAsia="Palatino Linotype" w:cs="Palatino Linotype"/>
          <w:sz w:val="24"/>
          <w:szCs w:val="24"/>
          <w:lang w:val="pt-BR"/>
        </w:rPr>
        <w:t xml:space="preserve">da licitante </w:t>
      </w:r>
      <w:r w:rsidRPr="7CBAACF9" w:rsidR="152DD9CE">
        <w:rPr>
          <w:rFonts w:ascii="Palatino Linotype" w:hAnsi="Palatino Linotype" w:eastAsia="Palatino Linotype" w:cs="Palatino Linotype"/>
          <w:sz w:val="24"/>
          <w:szCs w:val="24"/>
          <w:lang w:val="pt-BR"/>
        </w:rPr>
        <w:t xml:space="preserve">foi assinada em 23/09/2019 e registrada na Junta Comercial do Estado da Bahia no dia 10/10/2019, ou seja, na data </w:t>
      </w:r>
      <w:r w:rsidRPr="7CBAACF9" w:rsidR="152DD9CE">
        <w:rPr>
          <w:rFonts w:ascii="Palatino Linotype" w:hAnsi="Palatino Linotype" w:eastAsia="Palatino Linotype" w:cs="Palatino Linotype"/>
          <w:sz w:val="24"/>
          <w:szCs w:val="24"/>
          <w:lang w:val="pt-BR"/>
        </w:rPr>
        <w:t xml:space="preserve">do registro, já estava em vigor </w:t>
      </w:r>
      <w:r w:rsidRPr="7CBAACF9" w:rsidR="1CADD243">
        <w:rPr>
          <w:rFonts w:ascii="Palatino Linotype" w:hAnsi="Palatino Linotype" w:eastAsia="Palatino Linotype" w:cs="Palatino Linotype"/>
          <w:sz w:val="24"/>
          <w:szCs w:val="24"/>
          <w:lang w:val="pt-BR"/>
        </w:rPr>
        <w:t>o art. 1.052</w:t>
      </w:r>
      <w:r w:rsidRPr="7CBAACF9" w:rsidR="17127133">
        <w:rPr>
          <w:rFonts w:ascii="Palatino Linotype" w:hAnsi="Palatino Linotype" w:eastAsia="Palatino Linotype" w:cs="Palatino Linotype"/>
          <w:sz w:val="24"/>
          <w:szCs w:val="24"/>
          <w:lang w:val="pt-BR"/>
        </w:rPr>
        <w:t>, §§ 1º e 2º, do Código Civil.</w:t>
      </w:r>
    </w:p>
    <w:p w:rsidR="7CBAACF9" w:rsidP="7CBAACF9" w:rsidRDefault="7CBAACF9" w14:paraId="57E1E69D" w14:textId="42777D8B">
      <w:pPr>
        <w:pStyle w:val="Normal"/>
        <w:spacing w:line="360" w:lineRule="auto"/>
        <w:ind w:firstLine="1417"/>
        <w:jc w:val="both"/>
        <w:rPr>
          <w:rFonts w:ascii="Palatino Linotype" w:hAnsi="Palatino Linotype" w:eastAsia="Palatino Linotype" w:cs="Palatino Linotype"/>
          <w:sz w:val="24"/>
          <w:szCs w:val="24"/>
          <w:lang w:val="pt-BR"/>
        </w:rPr>
      </w:pPr>
    </w:p>
    <w:p w:rsidR="54FFE072" w:rsidP="7CBAACF9" w:rsidRDefault="54FFE072" w14:paraId="6CE7FB8A" w14:textId="5291DEA0">
      <w:pPr>
        <w:pStyle w:val="Normal"/>
        <w:spacing w:line="360" w:lineRule="auto"/>
        <w:ind w:firstLine="1417"/>
        <w:jc w:val="both"/>
        <w:rPr>
          <w:rFonts w:ascii="Palatino Linotype" w:hAnsi="Palatino Linotype" w:eastAsia="Palatino Linotype" w:cs="Palatino Linotype"/>
          <w:sz w:val="24"/>
          <w:szCs w:val="24"/>
          <w:lang w:val="pt-BR"/>
        </w:rPr>
      </w:pPr>
      <w:r w:rsidRPr="7CBAACF9" w:rsidR="54FFE072">
        <w:rPr>
          <w:rFonts w:ascii="Palatino Linotype" w:hAnsi="Palatino Linotype" w:eastAsia="Palatino Linotype" w:cs="Palatino Linotype"/>
          <w:sz w:val="24"/>
          <w:szCs w:val="24"/>
          <w:lang w:val="pt-BR"/>
        </w:rPr>
        <w:t>Por derradeiro, o art. 1.033, parágrafo único, do Código Civil, dispõe não se aplicar o disposto no inciso IV nas hipóteses em que, havendo a concentração de cotas sob a titularidade de um único</w:t>
      </w:r>
      <w:r w:rsidRPr="7CBAACF9" w:rsidR="78AFEB4B">
        <w:rPr>
          <w:rFonts w:ascii="Palatino Linotype" w:hAnsi="Palatino Linotype" w:eastAsia="Palatino Linotype" w:cs="Palatino Linotype"/>
          <w:sz w:val="24"/>
          <w:szCs w:val="24"/>
          <w:lang w:val="pt-BR"/>
        </w:rPr>
        <w:t xml:space="preserve"> sócio, ele requeira a transformação do registro da sociedade para empresário individual ou para EIRELI</w:t>
      </w:r>
      <w:r w:rsidRPr="7CBAACF9">
        <w:rPr>
          <w:rStyle w:val="Refdenotaderodap"/>
          <w:rFonts w:ascii="Palatino Linotype" w:hAnsi="Palatino Linotype" w:eastAsia="Palatino Linotype" w:cs="Palatino Linotype"/>
          <w:sz w:val="24"/>
          <w:szCs w:val="24"/>
          <w:lang w:val="pt-BR"/>
        </w:rPr>
        <w:footnoteReference w:id="19350"/>
      </w:r>
      <w:r w:rsidRPr="7CBAACF9" w:rsidR="78AFEB4B">
        <w:rPr>
          <w:rFonts w:ascii="Palatino Linotype" w:hAnsi="Palatino Linotype" w:eastAsia="Palatino Linotype" w:cs="Palatino Linotype"/>
          <w:sz w:val="24"/>
          <w:szCs w:val="24"/>
          <w:lang w:val="pt-BR"/>
        </w:rPr>
        <w:t>.</w:t>
      </w:r>
    </w:p>
    <w:p w:rsidR="7CBAACF9" w:rsidP="7CBAACF9" w:rsidRDefault="7CBAACF9" w14:paraId="2F092EF1" w14:textId="75CED644">
      <w:pPr>
        <w:pStyle w:val="Normal"/>
        <w:spacing w:line="360" w:lineRule="auto"/>
        <w:ind w:firstLine="1417"/>
        <w:jc w:val="both"/>
        <w:rPr>
          <w:rFonts w:ascii="Palatino Linotype" w:hAnsi="Palatino Linotype" w:eastAsia="Palatino Linotype" w:cs="Palatino Linotype"/>
          <w:sz w:val="24"/>
          <w:szCs w:val="24"/>
          <w:lang w:val="pt-BR"/>
        </w:rPr>
      </w:pPr>
    </w:p>
    <w:p w:rsidR="78AFEB4B" w:rsidP="7CBAACF9" w:rsidRDefault="78AFEB4B" w14:paraId="7E48F9BF" w14:textId="58F2F7D9">
      <w:pPr>
        <w:pStyle w:val="Normal"/>
        <w:spacing w:line="360" w:lineRule="auto"/>
        <w:ind w:firstLine="1417"/>
        <w:jc w:val="both"/>
        <w:rPr>
          <w:rFonts w:ascii="Palatino Linotype" w:hAnsi="Palatino Linotype" w:eastAsia="Palatino Linotype" w:cs="Palatino Linotype"/>
          <w:sz w:val="24"/>
          <w:szCs w:val="24"/>
          <w:lang w:val="pt-BR"/>
        </w:rPr>
      </w:pPr>
      <w:r w:rsidRPr="7CBAACF9" w:rsidR="78AFEB4B">
        <w:rPr>
          <w:rFonts w:ascii="Palatino Linotype" w:hAnsi="Palatino Linotype" w:eastAsia="Palatino Linotype" w:cs="Palatino Linotype"/>
          <w:sz w:val="24"/>
          <w:szCs w:val="24"/>
          <w:lang w:val="pt-BR"/>
        </w:rPr>
        <w:t>Tal dispositivo poderia permitir a conclusão no sentido de que, em se tratando de sociedade limitada unipessoal, também far-se-ia necessária a transformação do registro. Ocorre que</w:t>
      </w:r>
      <w:r w:rsidRPr="7CBAACF9" w:rsidR="4FF2340C">
        <w:rPr>
          <w:rFonts w:ascii="Palatino Linotype" w:hAnsi="Palatino Linotype" w:eastAsia="Palatino Linotype" w:cs="Palatino Linotype"/>
          <w:sz w:val="24"/>
          <w:szCs w:val="24"/>
          <w:lang w:val="pt-BR"/>
        </w:rPr>
        <w:t xml:space="preserve"> a sociedade limitada unipessoal não constitui outra pessoa jurídica distinta, permanecendo, portanto, a natureza jurídica de sociedade limitada.</w:t>
      </w:r>
      <w:r w:rsidRPr="7CBAACF9" w:rsidR="19510951">
        <w:rPr>
          <w:rFonts w:ascii="Palatino Linotype" w:hAnsi="Palatino Linotype" w:eastAsia="Palatino Linotype" w:cs="Palatino Linotype"/>
          <w:sz w:val="24"/>
          <w:szCs w:val="24"/>
          <w:lang w:val="pt-BR"/>
        </w:rPr>
        <w:t xml:space="preserve"> </w:t>
      </w:r>
    </w:p>
    <w:p w:rsidR="7CBAACF9" w:rsidP="7CBAACF9" w:rsidRDefault="7CBAACF9" w14:paraId="208B344E" w14:textId="126D6BBC">
      <w:pPr>
        <w:pStyle w:val="Normal"/>
        <w:spacing w:line="360" w:lineRule="auto"/>
        <w:ind w:firstLine="1417"/>
        <w:jc w:val="both"/>
        <w:rPr>
          <w:rFonts w:ascii="Palatino Linotype" w:hAnsi="Palatino Linotype" w:eastAsia="Palatino Linotype" w:cs="Palatino Linotype"/>
          <w:sz w:val="24"/>
          <w:szCs w:val="24"/>
          <w:lang w:val="pt-BR"/>
        </w:rPr>
      </w:pPr>
    </w:p>
    <w:p w:rsidR="19510951" w:rsidP="7CBAACF9" w:rsidRDefault="19510951" w14:paraId="4D478341" w14:textId="4A7F9792">
      <w:pPr>
        <w:pStyle w:val="Normal"/>
        <w:spacing w:line="360" w:lineRule="auto"/>
        <w:ind w:firstLine="1417"/>
        <w:jc w:val="both"/>
        <w:rPr>
          <w:rFonts w:ascii="Palatino Linotype" w:hAnsi="Palatino Linotype" w:eastAsia="Palatino Linotype" w:cs="Palatino Linotype"/>
          <w:sz w:val="24"/>
          <w:szCs w:val="24"/>
          <w:lang w:val="pt-BR"/>
        </w:rPr>
      </w:pPr>
      <w:r w:rsidRPr="7CBAACF9" w:rsidR="19510951">
        <w:rPr>
          <w:rFonts w:ascii="Palatino Linotype" w:hAnsi="Palatino Linotype" w:eastAsia="Palatino Linotype" w:cs="Palatino Linotype"/>
          <w:sz w:val="24"/>
          <w:szCs w:val="24"/>
          <w:lang w:val="pt-BR"/>
        </w:rPr>
        <w:t xml:space="preserve">Não por outra razão a Instrução Normativa DREI nº. 81/2020 não tratou da necessidade de transformação do registro para a hipótese delineada nos autos, </w:t>
      </w:r>
      <w:r w:rsidRPr="7CBAACF9" w:rsidR="5745F0D6">
        <w:rPr>
          <w:rFonts w:ascii="Palatino Linotype" w:hAnsi="Palatino Linotype" w:eastAsia="Palatino Linotype" w:cs="Palatino Linotype"/>
          <w:sz w:val="24"/>
          <w:szCs w:val="24"/>
          <w:lang w:val="pt-BR"/>
        </w:rPr>
        <w:t>mas apenas para o empresário individual e para a EIRELI:</w:t>
      </w:r>
    </w:p>
    <w:p w:rsidR="7CBAACF9" w:rsidP="7CBAACF9" w:rsidRDefault="7CBAACF9" w14:paraId="4BFA5FD7" w14:textId="12808979">
      <w:pPr>
        <w:pStyle w:val="Normal"/>
        <w:spacing w:line="360" w:lineRule="auto"/>
        <w:ind w:left="2160" w:firstLine="1417"/>
        <w:jc w:val="both"/>
        <w:rPr>
          <w:rFonts w:ascii="Palatino Linotype" w:hAnsi="Palatino Linotype" w:eastAsia="Palatino Linotype" w:cs="Palatino Linotype"/>
          <w:color w:val="auto"/>
          <w:sz w:val="20"/>
          <w:szCs w:val="20"/>
          <w:lang w:val="pt-BR"/>
        </w:rPr>
      </w:pPr>
    </w:p>
    <w:p w:rsidR="5745F0D6" w:rsidP="7CBAACF9" w:rsidRDefault="5745F0D6" w14:paraId="13FDBE44" w14:textId="65CFA887">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Art. 62. Transformação é a operação pela qual uma empresa ou sociedade passa de um tipo para outro, independente de dissolução ou liquidação, obedecidos os preceitos reguladores da constituição e inscrição do tipo em que vai transformar-se.</w:t>
      </w:r>
    </w:p>
    <w:p w:rsidR="5745F0D6" w:rsidP="7CBAACF9" w:rsidRDefault="5745F0D6" w14:paraId="4B9D2E20" w14:textId="1A4521A2">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1º Para os efeitos desta Instrução Normativa, a transformação pode ser:</w:t>
      </w:r>
    </w:p>
    <w:p w:rsidR="5745F0D6" w:rsidP="7CBAACF9" w:rsidRDefault="5745F0D6" w14:paraId="028EC0E3" w14:textId="07AC29B4">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xml:space="preserve">I - </w:t>
      </w:r>
      <w:proofErr w:type="gramStart"/>
      <w:r w:rsidRPr="7CBAACF9" w:rsidR="5745F0D6">
        <w:rPr>
          <w:rFonts w:ascii="Palatino Linotype" w:hAnsi="Palatino Linotype" w:eastAsia="Palatino Linotype" w:cs="Palatino Linotype"/>
          <w:b w:val="0"/>
          <w:bCs w:val="0"/>
          <w:i w:val="0"/>
          <w:iCs w:val="0"/>
          <w:noProof w:val="0"/>
          <w:color w:val="auto"/>
          <w:sz w:val="20"/>
          <w:szCs w:val="20"/>
          <w:lang w:val="pt-BR"/>
        </w:rPr>
        <w:t>societária</w:t>
      </w:r>
      <w:proofErr w:type="gramEnd"/>
      <w:r w:rsidRPr="7CBAACF9" w:rsidR="5745F0D6">
        <w:rPr>
          <w:rFonts w:ascii="Palatino Linotype" w:hAnsi="Palatino Linotype" w:eastAsia="Palatino Linotype" w:cs="Palatino Linotype"/>
          <w:b w:val="0"/>
          <w:bCs w:val="0"/>
          <w:i w:val="0"/>
          <w:iCs w:val="0"/>
          <w:noProof w:val="0"/>
          <w:color w:val="auto"/>
          <w:sz w:val="20"/>
          <w:szCs w:val="20"/>
          <w:lang w:val="pt-BR"/>
        </w:rPr>
        <w:t xml:space="preserve">, nos termos dos </w:t>
      </w:r>
      <w:proofErr w:type="spellStart"/>
      <w:r w:rsidRPr="7CBAACF9" w:rsidR="5745F0D6">
        <w:rPr>
          <w:rFonts w:ascii="Palatino Linotype" w:hAnsi="Palatino Linotype" w:eastAsia="Palatino Linotype" w:cs="Palatino Linotype"/>
          <w:b w:val="0"/>
          <w:bCs w:val="0"/>
          <w:i w:val="0"/>
          <w:iCs w:val="0"/>
          <w:noProof w:val="0"/>
          <w:color w:val="auto"/>
          <w:sz w:val="20"/>
          <w:szCs w:val="20"/>
          <w:lang w:val="pt-BR"/>
        </w:rPr>
        <w:t>arts</w:t>
      </w:r>
      <w:proofErr w:type="spellEnd"/>
      <w:r w:rsidRPr="7CBAACF9" w:rsidR="5745F0D6">
        <w:rPr>
          <w:rFonts w:ascii="Palatino Linotype" w:hAnsi="Palatino Linotype" w:eastAsia="Palatino Linotype" w:cs="Palatino Linotype"/>
          <w:b w:val="0"/>
          <w:bCs w:val="0"/>
          <w:i w:val="0"/>
          <w:iCs w:val="0"/>
          <w:noProof w:val="0"/>
          <w:color w:val="auto"/>
          <w:sz w:val="20"/>
          <w:szCs w:val="20"/>
          <w:lang w:val="pt-BR"/>
        </w:rPr>
        <w:t>. 1.113 do Código Civil e 220 da Lei nº 6.404, de 1976, quando ocorrer entre sociedades; e</w:t>
      </w:r>
    </w:p>
    <w:p w:rsidR="7CBAACF9" w:rsidP="7CBAACF9" w:rsidRDefault="7CBAACF9" w14:paraId="5D55F6F2" w14:textId="058C0652">
      <w:pPr>
        <w:ind w:left="2160"/>
        <w:jc w:val="both"/>
        <w:rPr>
          <w:rFonts w:ascii="Palatino Linotype" w:hAnsi="Palatino Linotype" w:eastAsia="Palatino Linotype" w:cs="Palatino Linotype"/>
          <w:b w:val="0"/>
          <w:bCs w:val="0"/>
          <w:i w:val="0"/>
          <w:iCs w:val="0"/>
          <w:noProof w:val="0"/>
          <w:color w:val="auto"/>
          <w:sz w:val="20"/>
          <w:szCs w:val="20"/>
          <w:lang w:val="pt-BR"/>
        </w:rPr>
      </w:pPr>
    </w:p>
    <w:p w:rsidR="5745F0D6" w:rsidP="7CBAACF9" w:rsidRDefault="5745F0D6" w14:paraId="19968F60" w14:textId="34B5136D">
      <w:pPr>
        <w:ind w:left="2160"/>
        <w:jc w:val="both"/>
        <w:rPr>
          <w:rFonts w:ascii="Palatino Linotype" w:hAnsi="Palatino Linotype" w:eastAsia="Palatino Linotype" w:cs="Palatino Linotype"/>
          <w:b w:val="1"/>
          <w:bCs w:val="1"/>
          <w:i w:val="0"/>
          <w:iCs w:val="0"/>
          <w:noProof w:val="0"/>
          <w:color w:val="auto"/>
          <w:sz w:val="20"/>
          <w:szCs w:val="20"/>
          <w:lang w:val="pt-BR"/>
        </w:rPr>
      </w:pPr>
      <w:r w:rsidRPr="7CBAACF9" w:rsidR="5745F0D6">
        <w:rPr>
          <w:rFonts w:ascii="Palatino Linotype" w:hAnsi="Palatino Linotype" w:eastAsia="Palatino Linotype" w:cs="Palatino Linotype"/>
          <w:b w:val="1"/>
          <w:bCs w:val="1"/>
          <w:i w:val="0"/>
          <w:iCs w:val="0"/>
          <w:noProof w:val="0"/>
          <w:color w:val="auto"/>
          <w:sz w:val="20"/>
          <w:szCs w:val="20"/>
          <w:lang w:val="pt-BR"/>
        </w:rPr>
        <w:t xml:space="preserve">II - </w:t>
      </w:r>
      <w:proofErr w:type="gramStart"/>
      <w:r w:rsidRPr="7CBAACF9" w:rsidR="5745F0D6">
        <w:rPr>
          <w:rFonts w:ascii="Palatino Linotype" w:hAnsi="Palatino Linotype" w:eastAsia="Palatino Linotype" w:cs="Palatino Linotype"/>
          <w:b w:val="1"/>
          <w:bCs w:val="1"/>
          <w:i w:val="0"/>
          <w:iCs w:val="0"/>
          <w:noProof w:val="0"/>
          <w:color w:val="auto"/>
          <w:sz w:val="20"/>
          <w:szCs w:val="20"/>
          <w:lang w:val="pt-BR"/>
        </w:rPr>
        <w:t>de</w:t>
      </w:r>
      <w:proofErr w:type="gramEnd"/>
      <w:r w:rsidRPr="7CBAACF9" w:rsidR="5745F0D6">
        <w:rPr>
          <w:rFonts w:ascii="Palatino Linotype" w:hAnsi="Palatino Linotype" w:eastAsia="Palatino Linotype" w:cs="Palatino Linotype"/>
          <w:b w:val="1"/>
          <w:bCs w:val="1"/>
          <w:i w:val="0"/>
          <w:iCs w:val="0"/>
          <w:noProof w:val="0"/>
          <w:color w:val="auto"/>
          <w:sz w:val="20"/>
          <w:szCs w:val="20"/>
          <w:lang w:val="pt-BR"/>
        </w:rPr>
        <w:t xml:space="preserve"> registro, nos termos dos </w:t>
      </w:r>
      <w:proofErr w:type="spellStart"/>
      <w:r w:rsidRPr="7CBAACF9" w:rsidR="5745F0D6">
        <w:rPr>
          <w:rFonts w:ascii="Palatino Linotype" w:hAnsi="Palatino Linotype" w:eastAsia="Palatino Linotype" w:cs="Palatino Linotype"/>
          <w:b w:val="1"/>
          <w:bCs w:val="1"/>
          <w:i w:val="0"/>
          <w:iCs w:val="0"/>
          <w:noProof w:val="0"/>
          <w:color w:val="auto"/>
          <w:sz w:val="20"/>
          <w:szCs w:val="20"/>
          <w:lang w:val="pt-BR"/>
        </w:rPr>
        <w:t>arts</w:t>
      </w:r>
      <w:proofErr w:type="spellEnd"/>
      <w:r w:rsidRPr="7CBAACF9" w:rsidR="5745F0D6">
        <w:rPr>
          <w:rFonts w:ascii="Palatino Linotype" w:hAnsi="Palatino Linotype" w:eastAsia="Palatino Linotype" w:cs="Palatino Linotype"/>
          <w:b w:val="1"/>
          <w:bCs w:val="1"/>
          <w:i w:val="0"/>
          <w:iCs w:val="0"/>
          <w:noProof w:val="0"/>
          <w:color w:val="auto"/>
          <w:sz w:val="20"/>
          <w:szCs w:val="20"/>
          <w:lang w:val="pt-BR"/>
        </w:rPr>
        <w:t>. 968, § 3º e 1.033, parágrafo único, ambos do Código Civil, quando ocorrer:</w:t>
      </w:r>
    </w:p>
    <w:p w:rsidR="5745F0D6" w:rsidP="7CBAACF9" w:rsidRDefault="5745F0D6" w14:paraId="4015B3A2" w14:textId="02966CEF">
      <w:pPr>
        <w:ind w:left="2160"/>
        <w:jc w:val="both"/>
        <w:rPr>
          <w:rFonts w:ascii="Palatino Linotype" w:hAnsi="Palatino Linotype" w:eastAsia="Palatino Linotype" w:cs="Palatino Linotype"/>
          <w:b w:val="1"/>
          <w:bCs w:val="1"/>
          <w:i w:val="0"/>
          <w:iCs w:val="0"/>
          <w:noProof w:val="0"/>
          <w:color w:val="auto"/>
          <w:sz w:val="20"/>
          <w:szCs w:val="20"/>
          <w:lang w:val="pt-BR"/>
        </w:rPr>
      </w:pPr>
      <w:r w:rsidRPr="7CBAACF9" w:rsidR="5745F0D6">
        <w:rPr>
          <w:rFonts w:ascii="Palatino Linotype" w:hAnsi="Palatino Linotype" w:eastAsia="Palatino Linotype" w:cs="Palatino Linotype"/>
          <w:b w:val="1"/>
          <w:bCs w:val="1"/>
          <w:i w:val="0"/>
          <w:iCs w:val="0"/>
          <w:noProof w:val="0"/>
          <w:color w:val="auto"/>
          <w:sz w:val="20"/>
          <w:szCs w:val="20"/>
          <w:lang w:val="pt-BR"/>
        </w:rPr>
        <w:t>a) de sociedade empresária para empresário individual e vice versa;</w:t>
      </w:r>
    </w:p>
    <w:p w:rsidR="5745F0D6" w:rsidP="7CBAACF9" w:rsidRDefault="5745F0D6" w14:paraId="0E98B076" w14:textId="332A478B">
      <w:pPr>
        <w:ind w:left="2160"/>
        <w:jc w:val="both"/>
        <w:rPr>
          <w:rFonts w:ascii="Palatino Linotype" w:hAnsi="Palatino Linotype" w:eastAsia="Palatino Linotype" w:cs="Palatino Linotype"/>
          <w:b w:val="1"/>
          <w:bCs w:val="1"/>
          <w:i w:val="0"/>
          <w:iCs w:val="0"/>
          <w:noProof w:val="0"/>
          <w:color w:val="auto"/>
          <w:sz w:val="20"/>
          <w:szCs w:val="20"/>
          <w:lang w:val="pt-BR"/>
        </w:rPr>
      </w:pPr>
      <w:r w:rsidRPr="7CBAACF9" w:rsidR="5745F0D6">
        <w:rPr>
          <w:rFonts w:ascii="Palatino Linotype" w:hAnsi="Palatino Linotype" w:eastAsia="Palatino Linotype" w:cs="Palatino Linotype"/>
          <w:b w:val="1"/>
          <w:bCs w:val="1"/>
          <w:i w:val="0"/>
          <w:iCs w:val="0"/>
          <w:noProof w:val="0"/>
          <w:color w:val="auto"/>
          <w:sz w:val="20"/>
          <w:szCs w:val="20"/>
          <w:lang w:val="pt-BR"/>
        </w:rPr>
        <w:t>b) de sociedade empresária para EIRELI e vice versa; e</w:t>
      </w:r>
    </w:p>
    <w:p w:rsidR="5745F0D6" w:rsidP="7CBAACF9" w:rsidRDefault="5745F0D6" w14:paraId="0A183436" w14:textId="309F44C3">
      <w:pPr>
        <w:ind w:left="2160"/>
        <w:jc w:val="both"/>
        <w:rPr>
          <w:rFonts w:ascii="Palatino Linotype" w:hAnsi="Palatino Linotype" w:eastAsia="Palatino Linotype" w:cs="Palatino Linotype"/>
          <w:b w:val="1"/>
          <w:bCs w:val="1"/>
          <w:i w:val="0"/>
          <w:iCs w:val="0"/>
          <w:noProof w:val="0"/>
          <w:color w:val="auto"/>
          <w:sz w:val="20"/>
          <w:szCs w:val="20"/>
          <w:lang w:val="pt-BR"/>
        </w:rPr>
      </w:pPr>
      <w:r w:rsidRPr="7CBAACF9" w:rsidR="5745F0D6">
        <w:rPr>
          <w:rFonts w:ascii="Palatino Linotype" w:hAnsi="Palatino Linotype" w:eastAsia="Palatino Linotype" w:cs="Palatino Linotype"/>
          <w:b w:val="1"/>
          <w:bCs w:val="1"/>
          <w:i w:val="0"/>
          <w:iCs w:val="0"/>
          <w:noProof w:val="0"/>
          <w:color w:val="auto"/>
          <w:sz w:val="20"/>
          <w:szCs w:val="20"/>
          <w:lang w:val="pt-BR"/>
        </w:rPr>
        <w:t>c) de empresário individual para EIRELI e vice versa.</w:t>
      </w:r>
    </w:p>
    <w:p w:rsidR="7CBAACF9" w:rsidP="7CBAACF9" w:rsidRDefault="7CBAACF9" w14:paraId="38412E39" w14:textId="290F24AE">
      <w:pPr>
        <w:ind w:left="2160"/>
        <w:jc w:val="both"/>
        <w:rPr>
          <w:rFonts w:ascii="Palatino Linotype" w:hAnsi="Palatino Linotype" w:eastAsia="Palatino Linotype" w:cs="Palatino Linotype"/>
          <w:b w:val="0"/>
          <w:bCs w:val="0"/>
          <w:i w:val="0"/>
          <w:iCs w:val="0"/>
          <w:noProof w:val="0"/>
          <w:color w:val="auto"/>
          <w:sz w:val="20"/>
          <w:szCs w:val="20"/>
          <w:lang w:val="pt-BR"/>
        </w:rPr>
      </w:pPr>
    </w:p>
    <w:p w:rsidR="5745F0D6" w:rsidP="7CBAACF9" w:rsidRDefault="5745F0D6" w14:paraId="39A1FA96" w14:textId="0866F3A9">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2º A transformação não altera a condição do empresário individual, da EIRELI ou da sociedade empresária enquadrada como microempresa ou empresa de pequeno porte, exceto caso, em função do ato, incorra numa das vedações relacionadas no § 4º do art. 3º da Lei Complementar nº 123, de 2006.</w:t>
      </w:r>
    </w:p>
    <w:p w:rsidR="7CBAACF9" w:rsidP="7CBAACF9" w:rsidRDefault="7CBAACF9" w14:paraId="62344FC5" w14:textId="01F292B5">
      <w:pPr>
        <w:ind w:left="2160"/>
        <w:jc w:val="both"/>
        <w:rPr>
          <w:rFonts w:ascii="Palatino Linotype" w:hAnsi="Palatino Linotype" w:eastAsia="Palatino Linotype" w:cs="Palatino Linotype"/>
          <w:b w:val="0"/>
          <w:bCs w:val="0"/>
          <w:i w:val="0"/>
          <w:iCs w:val="0"/>
          <w:noProof w:val="0"/>
          <w:color w:val="auto"/>
          <w:sz w:val="20"/>
          <w:szCs w:val="20"/>
          <w:lang w:val="pt-BR"/>
        </w:rPr>
      </w:pPr>
    </w:p>
    <w:p w:rsidR="5745F0D6" w:rsidP="7CBAACF9" w:rsidRDefault="5745F0D6" w14:paraId="30C90441" w14:textId="7DC28A96">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3º O instrumento que se referir à deliberação de transformação poderá conter qualquer outra alteração do ato constitutivo.</w:t>
      </w:r>
    </w:p>
    <w:p w:rsidR="7CBAACF9" w:rsidP="7CBAACF9" w:rsidRDefault="7CBAACF9" w14:paraId="58FDC215" w14:textId="02965A96">
      <w:pPr>
        <w:ind w:left="2160"/>
        <w:jc w:val="both"/>
        <w:rPr>
          <w:rFonts w:ascii="Palatino Linotype" w:hAnsi="Palatino Linotype" w:eastAsia="Palatino Linotype" w:cs="Palatino Linotype"/>
          <w:b w:val="0"/>
          <w:bCs w:val="0"/>
          <w:i w:val="0"/>
          <w:iCs w:val="0"/>
          <w:noProof w:val="0"/>
          <w:color w:val="auto"/>
          <w:sz w:val="20"/>
          <w:szCs w:val="20"/>
          <w:lang w:val="pt-BR"/>
        </w:rPr>
      </w:pPr>
    </w:p>
    <w:p w:rsidR="5745F0D6" w:rsidP="7CBAACF9" w:rsidRDefault="5745F0D6" w14:paraId="1AE19492" w14:textId="3A0F3D5D">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4º A transformação a que se refere o inciso I do § 1º deste artigo está sujeita ao regime de decisão colegiada, assim como a transformação a que se refere o inciso II quando envolver sociedade anônima.</w:t>
      </w:r>
    </w:p>
    <w:p w:rsidR="7CBAACF9" w:rsidP="7CBAACF9" w:rsidRDefault="7CBAACF9" w14:paraId="12D642E6" w14:textId="67A69945">
      <w:pPr>
        <w:ind w:left="2160"/>
        <w:jc w:val="both"/>
        <w:rPr>
          <w:rFonts w:ascii="Palatino Linotype" w:hAnsi="Palatino Linotype" w:eastAsia="Palatino Linotype" w:cs="Palatino Linotype"/>
          <w:b w:val="0"/>
          <w:bCs w:val="0"/>
          <w:i w:val="0"/>
          <w:iCs w:val="0"/>
          <w:noProof w:val="0"/>
          <w:color w:val="auto"/>
          <w:sz w:val="20"/>
          <w:szCs w:val="20"/>
          <w:lang w:val="pt-BR"/>
        </w:rPr>
      </w:pPr>
    </w:p>
    <w:p w:rsidR="5745F0D6" w:rsidP="7CBAACF9" w:rsidRDefault="5745F0D6" w14:paraId="34F0BC64" w14:textId="4A4FE1F5">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5º Para efeito de arquivamento perante a Junta Comercial, a transformação poderá ser formalizada em instrumento único ou em separado.</w:t>
      </w:r>
    </w:p>
    <w:p w:rsidR="7CBAACF9" w:rsidP="7CBAACF9" w:rsidRDefault="7CBAACF9" w14:paraId="39ABB75C" w14:textId="612FE0BE">
      <w:pPr>
        <w:ind w:left="2160"/>
        <w:jc w:val="both"/>
        <w:rPr>
          <w:rFonts w:ascii="Palatino Linotype" w:hAnsi="Palatino Linotype" w:eastAsia="Palatino Linotype" w:cs="Palatino Linotype"/>
          <w:b w:val="0"/>
          <w:bCs w:val="0"/>
          <w:i w:val="0"/>
          <w:iCs w:val="0"/>
          <w:noProof w:val="0"/>
          <w:color w:val="auto"/>
          <w:sz w:val="20"/>
          <w:szCs w:val="20"/>
          <w:lang w:val="pt-BR"/>
        </w:rPr>
      </w:pPr>
    </w:p>
    <w:p w:rsidR="5745F0D6" w:rsidP="7CBAACF9" w:rsidRDefault="5745F0D6" w14:paraId="0C512C0D" w14:textId="1257D806">
      <w:pPr>
        <w:ind w:left="2160"/>
        <w:jc w:val="both"/>
        <w:rPr>
          <w:rFonts w:ascii="Palatino Linotype" w:hAnsi="Palatino Linotype" w:eastAsia="Palatino Linotype" w:cs="Palatino Linotype"/>
          <w:b w:val="0"/>
          <w:bCs w:val="0"/>
          <w:i w:val="0"/>
          <w:iCs w:val="0"/>
          <w:noProof w:val="0"/>
          <w:color w:val="auto"/>
          <w:sz w:val="20"/>
          <w:szCs w:val="20"/>
          <w:lang w:val="pt-BR"/>
        </w:rPr>
      </w:pPr>
      <w:r w:rsidRPr="7CBAACF9" w:rsidR="5745F0D6">
        <w:rPr>
          <w:rFonts w:ascii="Palatino Linotype" w:hAnsi="Palatino Linotype" w:eastAsia="Palatino Linotype" w:cs="Palatino Linotype"/>
          <w:b w:val="0"/>
          <w:bCs w:val="0"/>
          <w:i w:val="0"/>
          <w:iCs w:val="0"/>
          <w:noProof w:val="0"/>
          <w:color w:val="auto"/>
          <w:sz w:val="20"/>
          <w:szCs w:val="20"/>
          <w:lang w:val="pt-BR"/>
        </w:rPr>
        <w:t>§ 6º Será considerada como data de início das atividades aquela constante na inscrição ou na constituição originária.</w:t>
      </w:r>
    </w:p>
    <w:p w:rsidR="7CBAACF9" w:rsidP="7CBAACF9" w:rsidRDefault="7CBAACF9" w14:paraId="5932F846" w14:textId="085522F0">
      <w:pPr>
        <w:pStyle w:val="Normal"/>
        <w:spacing w:line="360" w:lineRule="auto"/>
        <w:ind w:left="2160" w:firstLine="1417"/>
        <w:jc w:val="both"/>
        <w:rPr>
          <w:rFonts w:ascii="Palatino Linotype" w:hAnsi="Palatino Linotype" w:eastAsia="Palatino Linotype" w:cs="Palatino Linotype"/>
          <w:color w:val="auto"/>
          <w:sz w:val="20"/>
          <w:szCs w:val="20"/>
          <w:lang w:val="pt-BR"/>
        </w:rPr>
      </w:pPr>
    </w:p>
    <w:p w:rsidR="5745F0D6" w:rsidP="7CBAACF9" w:rsidRDefault="5745F0D6" w14:paraId="270E1406" w14:textId="59549BE0">
      <w:pPr>
        <w:pStyle w:val="Normal"/>
        <w:spacing w:line="360" w:lineRule="auto"/>
        <w:ind w:firstLine="1417"/>
        <w:jc w:val="both"/>
        <w:rPr>
          <w:rFonts w:ascii="Palatino Linotype" w:hAnsi="Palatino Linotype" w:eastAsia="Palatino Linotype" w:cs="Palatino Linotype"/>
          <w:sz w:val="24"/>
          <w:szCs w:val="24"/>
          <w:lang w:val="pt-BR"/>
        </w:rPr>
      </w:pPr>
      <w:r w:rsidRPr="7CBAACF9" w:rsidR="5745F0D6">
        <w:rPr>
          <w:rFonts w:ascii="Palatino Linotype" w:hAnsi="Palatino Linotype" w:eastAsia="Palatino Linotype" w:cs="Palatino Linotype"/>
          <w:sz w:val="24"/>
          <w:szCs w:val="24"/>
          <w:lang w:val="pt-BR"/>
        </w:rPr>
        <w:t xml:space="preserve">Dessa forma, com a alteração contratual da licitante, ela continuou com a natureza jurídica de sociedade limitada, </w:t>
      </w:r>
      <w:r w:rsidRPr="7CBAACF9" w:rsidR="3413CB94">
        <w:rPr>
          <w:rFonts w:ascii="Palatino Linotype" w:hAnsi="Palatino Linotype" w:eastAsia="Palatino Linotype" w:cs="Palatino Linotype"/>
          <w:sz w:val="24"/>
          <w:szCs w:val="24"/>
          <w:lang w:val="pt-BR"/>
        </w:rPr>
        <w:t xml:space="preserve">só que </w:t>
      </w:r>
      <w:r w:rsidRPr="7CBAACF9" w:rsidR="5745F0D6">
        <w:rPr>
          <w:rFonts w:ascii="Palatino Linotype" w:hAnsi="Palatino Linotype" w:eastAsia="Palatino Linotype" w:cs="Palatino Linotype"/>
          <w:sz w:val="24"/>
          <w:szCs w:val="24"/>
          <w:lang w:val="pt-BR"/>
        </w:rPr>
        <w:t>agora unipessoal</w:t>
      </w:r>
      <w:r w:rsidRPr="7CBAACF9" w:rsidR="5165D971">
        <w:rPr>
          <w:rFonts w:ascii="Palatino Linotype" w:hAnsi="Palatino Linotype" w:eastAsia="Palatino Linotype" w:cs="Palatino Linotype"/>
          <w:sz w:val="24"/>
          <w:szCs w:val="24"/>
          <w:lang w:val="pt-BR"/>
        </w:rPr>
        <w:t>.</w:t>
      </w:r>
    </w:p>
    <w:p w:rsidR="7CBAACF9" w:rsidP="7CBAACF9" w:rsidRDefault="7CBAACF9" w14:paraId="23A5CD74" w14:textId="404C2664">
      <w:pPr>
        <w:pStyle w:val="Normal"/>
        <w:spacing w:line="360" w:lineRule="auto"/>
        <w:ind w:firstLine="0"/>
        <w:jc w:val="both"/>
        <w:rPr>
          <w:rFonts w:ascii="Palatino Linotype" w:hAnsi="Palatino Linotype" w:eastAsia="Palatino Linotype" w:cs="Palatino Linotype"/>
          <w:sz w:val="24"/>
          <w:szCs w:val="24"/>
          <w:lang w:val="pt-BR"/>
        </w:rPr>
      </w:pPr>
    </w:p>
    <w:p w:rsidR="2C163E43" w:rsidP="7CBAACF9" w:rsidRDefault="2C163E43" w14:paraId="2F557CD5" w14:textId="39B09C24">
      <w:pPr>
        <w:pStyle w:val="Normal"/>
        <w:spacing w:line="360" w:lineRule="auto"/>
        <w:ind w:firstLine="0"/>
        <w:jc w:val="both"/>
        <w:rPr>
          <w:rFonts w:ascii="Palatino Linotype" w:hAnsi="Palatino Linotype" w:eastAsia="Palatino Linotype" w:cs="Palatino Linotype"/>
          <w:b w:val="1"/>
          <w:bCs w:val="1"/>
          <w:sz w:val="24"/>
          <w:szCs w:val="24"/>
          <w:lang w:val="pt-BR"/>
        </w:rPr>
      </w:pPr>
      <w:r w:rsidRPr="7CBAACF9" w:rsidR="2C163E43">
        <w:rPr>
          <w:rFonts w:ascii="Palatino Linotype" w:hAnsi="Palatino Linotype" w:eastAsia="Palatino Linotype" w:cs="Palatino Linotype"/>
          <w:b w:val="1"/>
          <w:bCs w:val="1"/>
          <w:sz w:val="24"/>
          <w:szCs w:val="24"/>
          <w:lang w:val="pt-BR"/>
        </w:rPr>
        <w:t>III – DA CONCLUSÃO</w:t>
      </w:r>
    </w:p>
    <w:p w:rsidR="7CBAACF9" w:rsidP="7CBAACF9" w:rsidRDefault="7CBAACF9" w14:paraId="0874EA00" w14:textId="2D6FADF7">
      <w:pPr>
        <w:pStyle w:val="Normal"/>
        <w:spacing w:line="360" w:lineRule="auto"/>
        <w:ind w:firstLine="1417"/>
        <w:jc w:val="both"/>
        <w:rPr>
          <w:rFonts w:ascii="Palatino Linotype" w:hAnsi="Palatino Linotype" w:eastAsia="Palatino Linotype" w:cs="Palatino Linotype"/>
          <w:sz w:val="24"/>
          <w:szCs w:val="24"/>
          <w:lang w:val="pt-BR"/>
        </w:rPr>
      </w:pPr>
    </w:p>
    <w:p w:rsidR="007C0369" w:rsidP="7CBAACF9" w:rsidRDefault="00202003" w14:paraId="06239BFF" w14:textId="23423D24">
      <w:pPr>
        <w:pStyle w:val="Normal"/>
        <w:spacing w:line="360" w:lineRule="auto"/>
        <w:ind w:firstLine="1417"/>
        <w:contextualSpacing/>
        <w:jc w:val="both"/>
        <w:rPr>
          <w:rFonts w:ascii="Palatino Linotype" w:hAnsi="Palatino Linotype" w:eastAsia="Palatino Linotype" w:cs="Palatino Linotype"/>
          <w:b w:val="1"/>
          <w:bCs w:val="1"/>
          <w:sz w:val="24"/>
          <w:szCs w:val="24"/>
          <w:lang w:val="pt-BR"/>
        </w:rPr>
      </w:pPr>
      <w:r w:rsidRPr="7CBAACF9" w:rsidR="7176019A">
        <w:rPr>
          <w:rFonts w:ascii="Palatino Linotype" w:hAnsi="Palatino Linotype" w:eastAsia="Palatino Linotype" w:cs="Palatino Linotype"/>
          <w:b w:val="1"/>
          <w:bCs w:val="1"/>
          <w:sz w:val="24"/>
          <w:szCs w:val="24"/>
          <w:lang w:val="pt-BR"/>
        </w:rPr>
        <w:t xml:space="preserve">Ante o exposto, em resposta à Consulta Jurídica formulada pelo Pregoeiro, esta Assessoria Técnico-Jurídica opina pela </w:t>
      </w:r>
      <w:r w:rsidRPr="7CBAACF9" w:rsidR="12F99800">
        <w:rPr>
          <w:rFonts w:ascii="Palatino Linotype" w:hAnsi="Palatino Linotype" w:eastAsia="Palatino Linotype" w:cs="Palatino Linotype"/>
          <w:b w:val="1"/>
          <w:bCs w:val="1"/>
          <w:sz w:val="24"/>
          <w:szCs w:val="24"/>
          <w:lang w:val="pt-BR"/>
        </w:rPr>
        <w:t xml:space="preserve">habilitação jurídica da licitante ARQTEC - Comércio e Serviços LTDA, </w:t>
      </w:r>
      <w:r w:rsidRPr="7CBAACF9" w:rsidR="1C1DC1FC">
        <w:rPr>
          <w:rFonts w:ascii="Palatino Linotype" w:hAnsi="Palatino Linotype" w:eastAsia="Palatino Linotype" w:cs="Palatino Linotype"/>
          <w:b w:val="1"/>
          <w:bCs w:val="1"/>
          <w:sz w:val="24"/>
          <w:szCs w:val="24"/>
          <w:lang w:val="pt-BR"/>
        </w:rPr>
        <w:t>ao menos no que concerne ao tema objeto da consulta.</w:t>
      </w:r>
    </w:p>
    <w:p w:rsidR="7CBAACF9" w:rsidP="7CBAACF9" w:rsidRDefault="7CBAACF9" w14:paraId="3B4D4E0A" w14:textId="147E5953">
      <w:pPr>
        <w:pStyle w:val="Normal"/>
        <w:spacing w:line="360" w:lineRule="auto"/>
        <w:ind w:firstLine="1417"/>
        <w:jc w:val="both"/>
        <w:rPr>
          <w:rFonts w:ascii="Palatino Linotype" w:hAnsi="Palatino Linotype" w:eastAsia="Palatino Linotype" w:cs="Palatino Linotype"/>
          <w:b w:val="1"/>
          <w:bCs w:val="1"/>
          <w:sz w:val="24"/>
          <w:szCs w:val="24"/>
          <w:lang w:val="pt-BR"/>
        </w:rPr>
      </w:pPr>
    </w:p>
    <w:p w:rsidR="1C1DC1FC" w:rsidP="7CBAACF9" w:rsidRDefault="1C1DC1FC" w14:paraId="134E3E90" w14:textId="26DD6B82">
      <w:pPr>
        <w:pStyle w:val="Normal"/>
        <w:spacing w:line="360" w:lineRule="auto"/>
        <w:ind w:firstLine="1417"/>
        <w:jc w:val="both"/>
        <w:rPr>
          <w:rFonts w:ascii="Palatino Linotype" w:hAnsi="Palatino Linotype" w:eastAsia="Palatino Linotype" w:cs="Palatino Linotype"/>
          <w:b w:val="0"/>
          <w:bCs w:val="0"/>
          <w:sz w:val="24"/>
          <w:szCs w:val="24"/>
          <w:lang w:val="pt-BR"/>
        </w:rPr>
      </w:pPr>
      <w:r w:rsidRPr="7CBAACF9" w:rsidR="1C1DC1FC">
        <w:rPr>
          <w:rFonts w:ascii="Palatino Linotype" w:hAnsi="Palatino Linotype" w:eastAsia="Palatino Linotype" w:cs="Palatino Linotype"/>
          <w:b w:val="0"/>
          <w:bCs w:val="0"/>
          <w:sz w:val="24"/>
          <w:szCs w:val="24"/>
          <w:lang w:val="pt-BR"/>
        </w:rPr>
        <w:t>É o parecer, s.m.j. Encaminhe-se ao Pregoeiro para deliberação.</w:t>
      </w:r>
    </w:p>
    <w:p w:rsidR="7CBAACF9" w:rsidP="7CBAACF9" w:rsidRDefault="7CBAACF9" w14:paraId="7A0484C8" w14:textId="7404DB8F">
      <w:pPr>
        <w:pStyle w:val="Normal"/>
        <w:spacing w:line="360" w:lineRule="auto"/>
        <w:ind w:firstLine="1417"/>
        <w:jc w:val="both"/>
        <w:rPr>
          <w:rFonts w:ascii="Palatino Linotype" w:hAnsi="Palatino Linotype" w:eastAsia="Palatino Linotype" w:cs="Palatino Linotype"/>
          <w:b w:val="0"/>
          <w:bCs w:val="0"/>
          <w:sz w:val="24"/>
          <w:szCs w:val="24"/>
          <w:lang w:val="pt-BR"/>
        </w:rPr>
      </w:pPr>
    </w:p>
    <w:p w:rsidR="37754CAF" w:rsidP="7CBAACF9" w:rsidRDefault="37754CAF" w14:paraId="13FFFC79" w14:textId="1AAC9E0D">
      <w:pPr>
        <w:pStyle w:val="Normal"/>
        <w:spacing w:line="360" w:lineRule="auto"/>
        <w:ind w:firstLine="1417"/>
        <w:jc w:val="both"/>
        <w:rPr>
          <w:rFonts w:ascii="Palatino Linotype" w:hAnsi="Palatino Linotype" w:eastAsia="Palatino Linotype" w:cs="Palatino Linotype"/>
          <w:b w:val="0"/>
          <w:bCs w:val="0"/>
          <w:sz w:val="24"/>
          <w:szCs w:val="24"/>
          <w:lang w:val="pt-BR"/>
        </w:rPr>
      </w:pPr>
      <w:r w:rsidRPr="7CBAACF9" w:rsidR="37754CAF">
        <w:rPr>
          <w:rFonts w:ascii="Palatino Linotype" w:hAnsi="Palatino Linotype" w:eastAsia="Palatino Linotype" w:cs="Palatino Linotype"/>
          <w:b w:val="0"/>
          <w:bCs w:val="0"/>
          <w:sz w:val="24"/>
          <w:szCs w:val="24"/>
          <w:lang w:val="pt-BR"/>
        </w:rPr>
        <w:t>Salvador, 16 de Outubro de 2020.</w:t>
      </w:r>
    </w:p>
    <w:p w:rsidR="007C0369" w:rsidP="7CBAACF9" w:rsidRDefault="00202003" w14:paraId="79993E88" w14:textId="4E97273B">
      <w:pPr>
        <w:pStyle w:val="Normal"/>
        <w:spacing w:line="360" w:lineRule="auto"/>
        <w:ind w:firstLine="0"/>
        <w:contextualSpacing/>
        <w:jc w:val="both"/>
        <w:rPr>
          <w:rFonts w:ascii="Palatino Linotype" w:hAnsi="Palatino Linotype" w:eastAsia="Palatino Linotype" w:cs="Palatino Linotype"/>
          <w:sz w:val="24"/>
          <w:szCs w:val="24"/>
          <w:lang w:val="pt-BR"/>
        </w:rPr>
      </w:pPr>
      <w:r w:rsidRPr="570755A5" w:rsidR="02E2EF04">
        <w:rPr>
          <w:rFonts w:ascii="Palatino Linotype" w:hAnsi="Palatino Linotype" w:eastAsia="Palatino Linotype" w:cs="Palatino Linotype"/>
          <w:lang w:val="pt-BR"/>
        </w:rPr>
        <w:t/>
      </w:r>
    </w:p>
    <w:p w:rsidR="51B1A933" w:rsidP="7CBAACF9" w:rsidRDefault="51B1A933" w14:paraId="37CEAE76" w14:textId="26A46DF0">
      <w:pPr>
        <w:pStyle w:val="Normal"/>
        <w:spacing w:line="360" w:lineRule="auto"/>
        <w:jc w:val="both"/>
        <w:rPr>
          <w:rFonts w:ascii="Palatino Linotype" w:hAnsi="Palatino Linotype" w:eastAsia="Palatino Linotype" w:cs="Palatino Linotype"/>
          <w:sz w:val="24"/>
          <w:szCs w:val="24"/>
          <w:lang w:val="pt-BR"/>
        </w:rPr>
      </w:pPr>
    </w:p>
    <w:p w:rsidR="557B02FA" w:rsidP="55EBC6F0" w:rsidRDefault="557B02FA" w14:paraId="359B3640" w14:textId="5E19745F">
      <w:pPr>
        <w:jc w:val="center"/>
        <w:rPr>
          <w:rFonts w:ascii="Palatino Linotype" w:hAnsi="Palatino Linotype" w:eastAsia="Palatino Linotype" w:cs="Palatino Linotype"/>
          <w:b w:val="1"/>
          <w:bCs w:val="1"/>
          <w:sz w:val="24"/>
          <w:szCs w:val="24"/>
        </w:rPr>
      </w:pPr>
      <w:r w:rsidRPr="55EBC6F0" w:rsidR="557B02FA">
        <w:rPr>
          <w:rFonts w:ascii="Palatino Linotype" w:hAnsi="Palatino Linotype" w:eastAsia="Palatino Linotype" w:cs="Palatino Linotype"/>
          <w:b w:val="1"/>
          <w:bCs w:val="1"/>
          <w:sz w:val="24"/>
          <w:szCs w:val="24"/>
        </w:rPr>
        <w:t>Belª. Maria Paula Simões Silva</w:t>
      </w:r>
    </w:p>
    <w:p w:rsidR="557B02FA" w:rsidP="55EBC6F0" w:rsidRDefault="557B02FA" w14:paraId="3EA68CA9" w14:textId="1B2763C4">
      <w:pPr>
        <w:jc w:val="center"/>
        <w:rPr>
          <w:rFonts w:ascii="Palatino Linotype" w:hAnsi="Palatino Linotype" w:eastAsia="Palatino Linotype" w:cs="Palatino Linotype"/>
          <w:sz w:val="24"/>
          <w:szCs w:val="24"/>
        </w:rPr>
      </w:pPr>
      <w:proofErr w:type="spellStart"/>
      <w:r w:rsidRPr="55EBC6F0" w:rsidR="557B02FA">
        <w:rPr>
          <w:rFonts w:ascii="Palatino Linotype" w:hAnsi="Palatino Linotype" w:eastAsia="Palatino Linotype" w:cs="Palatino Linotype"/>
          <w:sz w:val="24"/>
          <w:szCs w:val="24"/>
        </w:rPr>
        <w:t>Assessora</w:t>
      </w:r>
      <w:proofErr w:type="spellEnd"/>
      <w:r w:rsidRPr="55EBC6F0" w:rsidR="557B02FA">
        <w:rPr>
          <w:rFonts w:ascii="Palatino Linotype" w:hAnsi="Palatino Linotype" w:eastAsia="Palatino Linotype" w:cs="Palatino Linotype"/>
          <w:sz w:val="24"/>
          <w:szCs w:val="24"/>
        </w:rPr>
        <w:t>/SGA</w:t>
      </w:r>
    </w:p>
    <w:p w:rsidR="557B02FA" w:rsidP="55EBC6F0" w:rsidRDefault="557B02FA" w14:paraId="24B363A0" w14:textId="34E5CAF3">
      <w:pPr>
        <w:jc w:val="center"/>
        <w:rPr>
          <w:rFonts w:ascii="Palatino Linotype" w:hAnsi="Palatino Linotype" w:eastAsia="Palatino Linotype" w:cs="Palatino Linotype"/>
          <w:sz w:val="24"/>
          <w:szCs w:val="24"/>
        </w:rPr>
      </w:pPr>
      <w:r w:rsidRPr="55EBC6F0" w:rsidR="557B02FA">
        <w:rPr>
          <w:rFonts w:ascii="Palatino Linotype" w:hAnsi="Palatino Linotype" w:eastAsia="Palatino Linotype" w:cs="Palatino Linotype"/>
          <w:sz w:val="24"/>
          <w:szCs w:val="24"/>
        </w:rPr>
        <w:t>Mat. 351.869</w:t>
      </w:r>
    </w:p>
    <w:p w:rsidR="5476AEF8" w:rsidP="55EBC6F0" w:rsidRDefault="5476AEF8" w14:paraId="1B07326C" w14:textId="2ACEC62D">
      <w:pPr>
        <w:rPr>
          <w:rFonts w:ascii="Palatino Linotype" w:hAnsi="Palatino Linotype" w:eastAsia="Palatino Linotype" w:cs="Palatino Linotype"/>
          <w:sz w:val="24"/>
          <w:szCs w:val="24"/>
        </w:rPr>
      </w:pPr>
    </w:p>
    <w:p w:rsidR="02E2EF04" w:rsidP="55EBC6F0" w:rsidRDefault="02E2EF04" w14:paraId="4BE6D452" w14:textId="43DABC6F">
      <w:pPr>
        <w:pStyle w:val="Normal"/>
        <w:rPr>
          <w:rFonts w:ascii="Palatino Linotype" w:hAnsi="Palatino Linotype" w:eastAsia="Palatino Linotype" w:cs="Palatino Linotype"/>
          <w:sz w:val="24"/>
          <w:szCs w:val="24"/>
        </w:rPr>
      </w:pPr>
    </w:p>
    <w:tbl>
      <w:tblPr>
        <w:tblW w:w="4252" w:type="dxa"/>
        <w:jc w:val="center"/>
        <w:tblLayout w:type="fixed"/>
        <w:tblLook w:val="06A0" w:firstRow="1" w:lastRow="0" w:firstColumn="1" w:lastColumn="0" w:noHBand="1" w:noVBand="1"/>
      </w:tblPr>
      <w:tblGrid>
        <w:gridCol w:w="4252"/>
      </w:tblGrid>
      <w:tr w:rsidR="51B1A933" w:rsidTr="55EBC6F0" w14:paraId="69B3B017" w14:textId="77777777">
        <w:trPr>
          <w:jc w:val="center"/>
        </w:trPr>
        <w:tc>
          <w:tcPr>
            <w:tcW w:w="4252" w:type="dxa"/>
            <w:tcMar/>
          </w:tcPr>
          <w:p w:rsidR="579F27E7" w:rsidP="55EBC6F0" w:rsidRDefault="4B1FB834" w14:paraId="2A95DBAC" w14:textId="77777777">
            <w:pPr>
              <w:pStyle w:val="WW-Recuodecorpodetexto3"/>
              <w:ind w:firstLine="0"/>
              <w:jc w:val="center"/>
              <w:rPr>
                <w:rFonts w:ascii="Palatino Linotype" w:hAnsi="Palatino Linotype" w:eastAsia="Palatino Linotype" w:cs="Palatino Linotype"/>
                <w:b w:val="1"/>
                <w:bCs w:val="1"/>
                <w:sz w:val="24"/>
                <w:szCs w:val="24"/>
              </w:rPr>
            </w:pPr>
            <w:r w:rsidRPr="55EBC6F0" w:rsidR="38553815">
              <w:rPr>
                <w:rFonts w:ascii="Palatino Linotype" w:hAnsi="Palatino Linotype" w:eastAsia="Palatino Linotype" w:cs="Palatino Linotype"/>
                <w:b w:val="1"/>
                <w:bCs w:val="1"/>
                <w:sz w:val="24"/>
                <w:szCs w:val="24"/>
              </w:rPr>
              <w:t>Bel. Eduardo Loula Novais de Paula</w:t>
            </w:r>
          </w:p>
          <w:p w:rsidR="579F27E7" w:rsidP="55EBC6F0" w:rsidRDefault="29BABDD2" w14:paraId="32511AF3" w14:textId="407EDB52">
            <w:pPr>
              <w:pStyle w:val="WW-Recuodecorpodetexto3"/>
              <w:ind w:left="1131" w:hanging="1131"/>
              <w:jc w:val="center"/>
              <w:rPr>
                <w:rFonts w:ascii="Palatino Linotype" w:hAnsi="Palatino Linotype" w:eastAsia="Palatino Linotype" w:cs="Palatino Linotype"/>
                <w:sz w:val="24"/>
                <w:szCs w:val="24"/>
              </w:rPr>
            </w:pPr>
            <w:proofErr w:type="spellStart"/>
            <w:r w:rsidRPr="55EBC6F0" w:rsidR="490DAA3A">
              <w:rPr>
                <w:rFonts w:ascii="Palatino Linotype" w:hAnsi="Palatino Linotype" w:eastAsia="Palatino Linotype" w:cs="Palatino Linotype"/>
                <w:sz w:val="24"/>
                <w:szCs w:val="24"/>
              </w:rPr>
              <w:t>A</w:t>
            </w:r>
            <w:r w:rsidRPr="55EBC6F0" w:rsidR="42726258">
              <w:rPr>
                <w:rFonts w:ascii="Palatino Linotype" w:hAnsi="Palatino Linotype" w:eastAsia="Palatino Linotype" w:cs="Palatino Linotype"/>
                <w:sz w:val="24"/>
                <w:szCs w:val="24"/>
              </w:rPr>
              <w:t>nalista</w:t>
            </w:r>
            <w:proofErr w:type="spellEnd"/>
            <w:r w:rsidRPr="55EBC6F0" w:rsidR="490DAA3A">
              <w:rPr>
                <w:rFonts w:ascii="Palatino Linotype" w:hAnsi="Palatino Linotype" w:eastAsia="Palatino Linotype" w:cs="Palatino Linotype"/>
                <w:sz w:val="24"/>
                <w:szCs w:val="24"/>
              </w:rPr>
              <w:t xml:space="preserve"> Técnico-</w:t>
            </w:r>
            <w:proofErr w:type="spellStart"/>
            <w:r w:rsidRPr="55EBC6F0" w:rsidR="490DAA3A">
              <w:rPr>
                <w:rFonts w:ascii="Palatino Linotype" w:hAnsi="Palatino Linotype" w:eastAsia="Palatino Linotype" w:cs="Palatino Linotype"/>
                <w:sz w:val="24"/>
                <w:szCs w:val="24"/>
              </w:rPr>
              <w:t>Jurídic</w:t>
            </w:r>
            <w:r w:rsidRPr="55EBC6F0" w:rsidR="218C1170">
              <w:rPr>
                <w:rFonts w:ascii="Palatino Linotype" w:hAnsi="Palatino Linotype" w:eastAsia="Palatino Linotype" w:cs="Palatino Linotype"/>
                <w:sz w:val="24"/>
                <w:szCs w:val="24"/>
              </w:rPr>
              <w:t>o</w:t>
            </w:r>
            <w:proofErr w:type="spellEnd"/>
            <w:r w:rsidRPr="55EBC6F0" w:rsidR="490DAA3A">
              <w:rPr>
                <w:rFonts w:ascii="Palatino Linotype" w:hAnsi="Palatino Linotype" w:eastAsia="Palatino Linotype" w:cs="Palatino Linotype"/>
                <w:sz w:val="24"/>
                <w:szCs w:val="24"/>
              </w:rPr>
              <w:t>/SGA</w:t>
            </w:r>
          </w:p>
          <w:p w:rsidR="579F27E7" w:rsidP="55EBC6F0" w:rsidRDefault="4B1FB834" w14:paraId="4718BA10" w14:textId="61E893AB">
            <w:pPr>
              <w:pStyle w:val="WW-Recuodecorpodetexto3"/>
              <w:ind w:left="1131" w:hanging="1131"/>
              <w:jc w:val="center"/>
              <w:rPr>
                <w:rFonts w:ascii="Palatino Linotype" w:hAnsi="Palatino Linotype" w:eastAsia="Palatino Linotype" w:cs="Palatino Linotype"/>
                <w:sz w:val="24"/>
                <w:szCs w:val="24"/>
              </w:rPr>
            </w:pPr>
            <w:r w:rsidRPr="55EBC6F0" w:rsidR="38553815">
              <w:rPr>
                <w:rFonts w:ascii="Palatino Linotype" w:hAnsi="Palatino Linotype" w:eastAsia="Palatino Linotype" w:cs="Palatino Linotype"/>
                <w:sz w:val="24"/>
                <w:szCs w:val="24"/>
              </w:rPr>
              <w:t>Mat. 353.707</w:t>
            </w:r>
          </w:p>
        </w:tc>
      </w:tr>
    </w:tbl>
    <w:p w:rsidR="007C0369" w:rsidP="652EA77C" w:rsidRDefault="007C0369" w14:paraId="052B455A" w14:textId="6B49CEA2">
      <w:pPr>
        <w:pStyle w:val="WW-Recuodecorpodetexto3"/>
        <w:ind w:firstLine="0"/>
        <w:jc w:val="center"/>
        <w:rPr>
          <w:rFonts w:ascii="Palatino Linotype" w:hAnsi="Palatino Linotype" w:eastAsia="Palatino Linotype" w:cs="Palatino Linotype"/>
          <w:b/>
          <w:sz w:val="22"/>
          <w:szCs w:val="22"/>
        </w:rPr>
      </w:pPr>
    </w:p>
    <w:p w:rsidR="007C0369" w:rsidP="652EA77C" w:rsidRDefault="007C0369" w14:paraId="558484DB" w14:textId="42C4A7E7">
      <w:pPr>
        <w:pStyle w:val="WW-Recuodecorpodetexto3"/>
        <w:ind w:firstLine="0"/>
        <w:jc w:val="center"/>
        <w:rPr>
          <w:rFonts w:ascii="Palatino Linotype" w:hAnsi="Palatino Linotype" w:eastAsia="Palatino Linotype" w:cs="Palatino Linotype"/>
          <w:b/>
          <w:sz w:val="22"/>
          <w:szCs w:val="22"/>
        </w:rPr>
        <w:sectPr w:rsidR="007C0369">
          <w:headerReference w:type="default" r:id="rId9"/>
          <w:footerReference w:type="default" r:id="rId10"/>
          <w:headerReference w:type="first" r:id="rId11"/>
          <w:footerReference w:type="first" r:id="rId12"/>
          <w:pgSz w:w="11906" w:h="16838" w:orient="portrait"/>
          <w:pgMar w:top="1134" w:right="1700" w:bottom="1134" w:left="1701" w:header="720" w:footer="1417" w:gutter="0"/>
          <w:cols w:space="720"/>
          <w:docGrid w:linePitch="360"/>
        </w:sectPr>
      </w:pPr>
    </w:p>
    <w:p w:rsidR="007C0369" w:rsidRDefault="007C0369" w14:paraId="0E27B00A" w14:textId="77777777">
      <w:pPr>
        <w:pStyle w:val="WW-Recuodecorpodetexto3"/>
        <w:spacing w:line="360" w:lineRule="auto"/>
        <w:ind w:firstLine="0"/>
        <w:contextualSpacing/>
        <w:jc w:val="center"/>
        <w:rPr>
          <w:rFonts w:ascii="Palatino Linotype" w:hAnsi="Palatino Linotype" w:cs="Palatino Linotype"/>
          <w:b/>
          <w:sz w:val="22"/>
          <w:szCs w:val="22"/>
        </w:rPr>
      </w:pPr>
    </w:p>
    <w:sectPr w:rsidR="007C0369">
      <w:type w:val="continuous"/>
      <w:pgSz w:w="11906" w:h="16838" w:orient="portrait"/>
      <w:pgMar w:top="1417" w:right="1700" w:bottom="1976" w:left="1701" w:header="720" w:footer="1417" w:gutter="0"/>
      <w:cols w:space="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0369" w:rsidRDefault="00202003" w14:paraId="3DEEC669" w14:textId="77777777">
      <w:r>
        <w:separator/>
      </w:r>
    </w:p>
  </w:endnote>
  <w:endnote w:type="continuationSeparator" w:id="0">
    <w:p w:rsidR="007C0369" w:rsidRDefault="00202003" w14:paraId="3656B9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369" w:rsidRDefault="007C0369" w14:paraId="4101652C" w14:textId="77777777">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369" w:rsidRDefault="007C0369" w14:paraId="5312826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0369" w:rsidRDefault="00202003" w14:paraId="45FB0818" w14:textId="77777777">
      <w:r>
        <w:separator/>
      </w:r>
    </w:p>
  </w:footnote>
  <w:footnote w:type="continuationSeparator" w:id="0">
    <w:p w:rsidR="007C0369" w:rsidRDefault="00202003" w14:paraId="049F31CB" w14:textId="77777777">
      <w:r>
        <w:continuationSeparator/>
      </w:r>
    </w:p>
  </w:footnote>
  <w:footnote w:id="19350">
    <w:p w:rsidR="7CBAACF9" w:rsidP="7CBAACF9" w:rsidRDefault="7CBAACF9" w14:paraId="03F61FF3" w14:textId="20338492">
      <w:pPr>
        <w:pStyle w:val="Normal"/>
        <w:bidi w:val="0"/>
        <w:spacing w:line="240" w:lineRule="auto"/>
        <w:jc w:val="both"/>
        <w:rPr>
          <w:rFonts w:ascii="Palatino Linotype" w:hAnsi="Palatino Linotype" w:eastAsia="Palatino Linotype" w:cs="Palatino Linotype"/>
          <w:b w:val="0"/>
          <w:bCs w:val="0"/>
          <w:noProof w:val="0"/>
          <w:color w:val="auto"/>
          <w:sz w:val="16"/>
          <w:szCs w:val="16"/>
          <w:lang w:val="en-US"/>
        </w:rPr>
      </w:pPr>
      <w:r w:rsidRPr="7CBAACF9">
        <w:rPr>
          <w:rStyle w:val="Refdenotaderodap"/>
          <w:rFonts w:ascii="Palatino Linotype" w:hAnsi="Palatino Linotype" w:eastAsia="Palatino Linotype" w:cs="Palatino Linotype"/>
          <w:b w:val="0"/>
          <w:bCs w:val="0"/>
          <w:color w:val="auto"/>
          <w:sz w:val="16"/>
          <w:szCs w:val="16"/>
        </w:rPr>
        <w:footnoteRef/>
      </w:r>
      <w:r w:rsidRPr="7CBAACF9" w:rsidR="7CBAACF9">
        <w:rPr>
          <w:rFonts w:ascii="Palatino Linotype" w:hAnsi="Palatino Linotype" w:eastAsia="Palatino Linotype" w:cs="Palatino Linotype"/>
          <w:b w:val="0"/>
          <w:bCs w:val="0"/>
          <w:color w:val="auto"/>
          <w:sz w:val="16"/>
          <w:szCs w:val="16"/>
        </w:rPr>
        <w:t xml:space="preserve"> </w:t>
      </w:r>
      <w:proofErr w:type="spellStart"/>
      <w:r w:rsidRPr="7CBAACF9" w:rsidR="7CBAACF9">
        <w:rPr>
          <w:rFonts w:ascii="Palatino Linotype" w:hAnsi="Palatino Linotype" w:eastAsia="Palatino Linotype" w:cs="Palatino Linotype"/>
          <w:b w:val="0"/>
          <w:bCs w:val="0"/>
          <w:color w:val="auto"/>
          <w:sz w:val="16"/>
          <w:szCs w:val="16"/>
        </w:rPr>
        <w:t>Enunciado</w:t>
      </w:r>
      <w:proofErr w:type="spellEnd"/>
      <w:r w:rsidRPr="7CBAACF9" w:rsidR="7CBAACF9">
        <w:rPr>
          <w:rFonts w:ascii="Palatino Linotype" w:hAnsi="Palatino Linotype" w:eastAsia="Palatino Linotype" w:cs="Palatino Linotype"/>
          <w:b w:val="0"/>
          <w:bCs w:val="0"/>
          <w:color w:val="auto"/>
          <w:sz w:val="16"/>
          <w:szCs w:val="16"/>
        </w:rPr>
        <w:t xml:space="preserve"> nº. 469, CJF: Arts. 44 e 980-A. A </w:t>
      </w:r>
      <w:proofErr w:type="spellStart"/>
      <w:r w:rsidRPr="7CBAACF9" w:rsidR="7CBAACF9">
        <w:rPr>
          <w:rFonts w:ascii="Palatino Linotype" w:hAnsi="Palatino Linotype" w:eastAsia="Palatino Linotype" w:cs="Palatino Linotype"/>
          <w:b w:val="0"/>
          <w:bCs w:val="0"/>
          <w:color w:val="auto"/>
          <w:sz w:val="16"/>
          <w:szCs w:val="16"/>
        </w:rPr>
        <w:t>empresa</w:t>
      </w:r>
      <w:proofErr w:type="spellEnd"/>
      <w:r w:rsidRPr="7CBAACF9" w:rsidR="7CBAACF9">
        <w:rPr>
          <w:rFonts w:ascii="Palatino Linotype" w:hAnsi="Palatino Linotype" w:eastAsia="Palatino Linotype" w:cs="Palatino Linotype"/>
          <w:b w:val="0"/>
          <w:bCs w:val="0"/>
          <w:color w:val="auto"/>
          <w:sz w:val="16"/>
          <w:szCs w:val="16"/>
        </w:rPr>
        <w:t xml:space="preserve"> individual de </w:t>
      </w:r>
      <w:proofErr w:type="spellStart"/>
      <w:r w:rsidRPr="7CBAACF9" w:rsidR="7CBAACF9">
        <w:rPr>
          <w:rFonts w:ascii="Palatino Linotype" w:hAnsi="Palatino Linotype" w:eastAsia="Palatino Linotype" w:cs="Palatino Linotype"/>
          <w:b w:val="0"/>
          <w:bCs w:val="0"/>
          <w:color w:val="auto"/>
          <w:sz w:val="16"/>
          <w:szCs w:val="16"/>
        </w:rPr>
        <w:t>responsabilidade</w:t>
      </w:r>
      <w:proofErr w:type="spellEnd"/>
      <w:r w:rsidRPr="7CBAACF9" w:rsidR="7CBAACF9">
        <w:rPr>
          <w:rFonts w:ascii="Palatino Linotype" w:hAnsi="Palatino Linotype" w:eastAsia="Palatino Linotype" w:cs="Palatino Linotype"/>
          <w:b w:val="0"/>
          <w:bCs w:val="0"/>
          <w:color w:val="auto"/>
          <w:sz w:val="16"/>
          <w:szCs w:val="16"/>
        </w:rPr>
        <w:t xml:space="preserve"> </w:t>
      </w:r>
      <w:proofErr w:type="spellStart"/>
      <w:r w:rsidRPr="7CBAACF9" w:rsidR="7CBAACF9">
        <w:rPr>
          <w:rFonts w:ascii="Palatino Linotype" w:hAnsi="Palatino Linotype" w:eastAsia="Palatino Linotype" w:cs="Palatino Linotype"/>
          <w:b w:val="0"/>
          <w:bCs w:val="0"/>
          <w:color w:val="auto"/>
          <w:sz w:val="16"/>
          <w:szCs w:val="16"/>
        </w:rPr>
        <w:t>limitada</w:t>
      </w:r>
      <w:proofErr w:type="spellEnd"/>
      <w:r w:rsidRPr="7CBAACF9" w:rsidR="7CBAACF9">
        <w:rPr>
          <w:rFonts w:ascii="Palatino Linotype" w:hAnsi="Palatino Linotype" w:eastAsia="Palatino Linotype" w:cs="Palatino Linotype"/>
          <w:b w:val="0"/>
          <w:bCs w:val="0"/>
          <w:color w:val="auto"/>
          <w:sz w:val="16"/>
          <w:szCs w:val="16"/>
        </w:rPr>
        <w:t xml:space="preserve"> (EIRELI) </w:t>
      </w:r>
      <w:proofErr w:type="spellStart"/>
      <w:r w:rsidRPr="7CBAACF9" w:rsidR="7CBAACF9">
        <w:rPr>
          <w:rFonts w:ascii="Palatino Linotype" w:hAnsi="Palatino Linotype" w:eastAsia="Palatino Linotype" w:cs="Palatino Linotype"/>
          <w:b w:val="0"/>
          <w:bCs w:val="0"/>
          <w:noProof w:val="0"/>
          <w:color w:val="auto"/>
          <w:sz w:val="16"/>
          <w:szCs w:val="16"/>
          <w:lang w:val="en-US"/>
        </w:rPr>
        <w:t>não</w:t>
      </w:r>
      <w:proofErr w:type="spellEnd"/>
      <w:r w:rsidRPr="7CBAACF9" w:rsidR="7CBAACF9">
        <w:rPr>
          <w:rFonts w:ascii="Palatino Linotype" w:hAnsi="Palatino Linotype" w:eastAsia="Palatino Linotype" w:cs="Palatino Linotype"/>
          <w:b w:val="0"/>
          <w:bCs w:val="0"/>
          <w:noProof w:val="0"/>
          <w:color w:val="auto"/>
          <w:sz w:val="16"/>
          <w:szCs w:val="16"/>
          <w:lang w:val="en-US"/>
        </w:rPr>
        <w:t xml:space="preserve"> é </w:t>
      </w:r>
      <w:proofErr w:type="spellStart"/>
      <w:r w:rsidRPr="7CBAACF9" w:rsidR="7CBAACF9">
        <w:rPr>
          <w:rFonts w:ascii="Palatino Linotype" w:hAnsi="Palatino Linotype" w:eastAsia="Palatino Linotype" w:cs="Palatino Linotype"/>
          <w:b w:val="0"/>
          <w:bCs w:val="0"/>
          <w:noProof w:val="0"/>
          <w:color w:val="auto"/>
          <w:sz w:val="16"/>
          <w:szCs w:val="16"/>
          <w:lang w:val="en-US"/>
        </w:rPr>
        <w:t>sociedade</w:t>
      </w:r>
      <w:proofErr w:type="spellEnd"/>
      <w:r w:rsidRPr="7CBAACF9" w:rsidR="7CBAACF9">
        <w:rPr>
          <w:rFonts w:ascii="Palatino Linotype" w:hAnsi="Palatino Linotype" w:eastAsia="Palatino Linotype" w:cs="Palatino Linotype"/>
          <w:b w:val="0"/>
          <w:bCs w:val="0"/>
          <w:noProof w:val="0"/>
          <w:color w:val="auto"/>
          <w:sz w:val="16"/>
          <w:szCs w:val="16"/>
          <w:lang w:val="en-US"/>
        </w:rPr>
        <w:t xml:space="preserve">, </w:t>
      </w:r>
      <w:proofErr w:type="gramStart"/>
      <w:r w:rsidRPr="7CBAACF9" w:rsidR="7CBAACF9">
        <w:rPr>
          <w:rFonts w:ascii="Palatino Linotype" w:hAnsi="Palatino Linotype" w:eastAsia="Palatino Linotype" w:cs="Palatino Linotype"/>
          <w:b w:val="0"/>
          <w:bCs w:val="0"/>
          <w:noProof w:val="0"/>
          <w:color w:val="auto"/>
          <w:sz w:val="16"/>
          <w:szCs w:val="16"/>
          <w:lang w:val="en-US"/>
        </w:rPr>
        <w:t>mas</w:t>
      </w:r>
      <w:proofErr w:type="gramEnd"/>
      <w:r w:rsidRPr="7CBAACF9" w:rsidR="7CBAACF9">
        <w:rPr>
          <w:rFonts w:ascii="Palatino Linotype" w:hAnsi="Palatino Linotype" w:eastAsia="Palatino Linotype" w:cs="Palatino Linotype"/>
          <w:b w:val="0"/>
          <w:bCs w:val="0"/>
          <w:noProof w:val="0"/>
          <w:color w:val="auto"/>
          <w:sz w:val="16"/>
          <w:szCs w:val="16"/>
          <w:lang w:val="en-US"/>
        </w:rPr>
        <w:t xml:space="preserve"> novo </w:t>
      </w:r>
      <w:proofErr w:type="spellStart"/>
      <w:r w:rsidRPr="7CBAACF9" w:rsidR="7CBAACF9">
        <w:rPr>
          <w:rFonts w:ascii="Palatino Linotype" w:hAnsi="Palatino Linotype" w:eastAsia="Palatino Linotype" w:cs="Palatino Linotype"/>
          <w:b w:val="0"/>
          <w:bCs w:val="0"/>
          <w:noProof w:val="0"/>
          <w:color w:val="auto"/>
          <w:sz w:val="16"/>
          <w:szCs w:val="16"/>
          <w:lang w:val="en-US"/>
        </w:rPr>
        <w:t>ente</w:t>
      </w:r>
      <w:proofErr w:type="spellEnd"/>
      <w:r w:rsidRPr="7CBAACF9" w:rsidR="7CBAACF9">
        <w:rPr>
          <w:rFonts w:ascii="Palatino Linotype" w:hAnsi="Palatino Linotype" w:eastAsia="Palatino Linotype" w:cs="Palatino Linotype"/>
          <w:b w:val="0"/>
          <w:bCs w:val="0"/>
          <w:noProof w:val="0"/>
          <w:color w:val="auto"/>
          <w:sz w:val="16"/>
          <w:szCs w:val="16"/>
          <w:lang w:val="en-US"/>
        </w:rPr>
        <w:t xml:space="preserve"> </w:t>
      </w:r>
      <w:proofErr w:type="spellStart"/>
      <w:r w:rsidRPr="7CBAACF9" w:rsidR="7CBAACF9">
        <w:rPr>
          <w:rFonts w:ascii="Palatino Linotype" w:hAnsi="Palatino Linotype" w:eastAsia="Palatino Linotype" w:cs="Palatino Linotype"/>
          <w:b w:val="0"/>
          <w:bCs w:val="0"/>
          <w:noProof w:val="0"/>
          <w:color w:val="auto"/>
          <w:sz w:val="16"/>
          <w:szCs w:val="16"/>
          <w:lang w:val="en-US"/>
        </w:rPr>
        <w:t>jurídico</w:t>
      </w:r>
      <w:proofErr w:type="spellEnd"/>
      <w:r w:rsidRPr="7CBAACF9" w:rsidR="7CBAACF9">
        <w:rPr>
          <w:rFonts w:ascii="Palatino Linotype" w:hAnsi="Palatino Linotype" w:eastAsia="Palatino Linotype" w:cs="Palatino Linotype"/>
          <w:b w:val="0"/>
          <w:bCs w:val="0"/>
          <w:noProof w:val="0"/>
          <w:color w:val="auto"/>
          <w:sz w:val="16"/>
          <w:szCs w:val="16"/>
          <w:lang w:val="en-US"/>
        </w:rPr>
        <w:t xml:space="preserve"> </w:t>
      </w:r>
      <w:proofErr w:type="spellStart"/>
      <w:r w:rsidRPr="7CBAACF9" w:rsidR="7CBAACF9">
        <w:rPr>
          <w:rFonts w:ascii="Palatino Linotype" w:hAnsi="Palatino Linotype" w:eastAsia="Palatino Linotype" w:cs="Palatino Linotype"/>
          <w:b w:val="0"/>
          <w:bCs w:val="0"/>
          <w:noProof w:val="0"/>
          <w:color w:val="auto"/>
          <w:sz w:val="16"/>
          <w:szCs w:val="16"/>
          <w:lang w:val="en-US"/>
        </w:rPr>
        <w:t>personificado</w:t>
      </w:r>
      <w:proofErr w:type="spellEnd"/>
      <w:r w:rsidRPr="7CBAACF9" w:rsidR="7CBAACF9">
        <w:rPr>
          <w:rFonts w:ascii="Palatino Linotype" w:hAnsi="Palatino Linotype" w:eastAsia="Palatino Linotype" w:cs="Palatino Linotype"/>
          <w:b w:val="0"/>
          <w:bCs w:val="0"/>
          <w:noProof w:val="0"/>
          <w:color w:val="auto"/>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C0369" w:rsidRDefault="007C0369" w14:paraId="44EAFD9C" w14:textId="77777777">
    <w:pPr>
      <w:pStyle w:val="header0"/>
      <w:rPr>
        <w:lang w:val="pt-BR" w:eastAsia="ja-JP" w:bidi="ar-SA"/>
      </w:rPr>
    </w:pPr>
  </w:p>
  <w:p w:rsidR="007C0369" w:rsidRDefault="00202003" w14:paraId="3791F1A8" w14:textId="77777777">
    <w:pPr>
      <w:pStyle w:val="header0"/>
      <w:rPr>
        <w:lang w:val="pt-BR" w:eastAsia="ja-JP" w:bidi="ar-SA"/>
      </w:rPr>
    </w:pPr>
    <w:r>
      <w:rPr>
        <w:noProof/>
      </w:rPr>
      <w:drawing>
        <wp:anchor distT="0" distB="0" distL="0" distR="0" simplePos="0" relativeHeight="251657728" behindDoc="0" locked="0" layoutInCell="1" allowOverlap="1" wp14:anchorId="0D8ADF1C" wp14:editId="07777777">
          <wp:simplePos x="0" y="0"/>
          <wp:positionH relativeFrom="page">
            <wp:align>center</wp:align>
          </wp:positionH>
          <wp:positionV relativeFrom="page">
            <wp:posOffset>0</wp:posOffset>
          </wp:positionV>
          <wp:extent cx="7553960" cy="1534160"/>
          <wp:effectExtent l="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105" r="-21" b="-105"/>
                  <a:stretch>
                    <a:fillRect/>
                  </a:stretch>
                </pic:blipFill>
                <pic:spPr bwMode="auto">
                  <a:xfrm>
                    <a:off x="0" y="0"/>
                    <a:ext cx="7553960" cy="15341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47CBC881">
      <w:rPr/>
      <w:t/>
    </w:r>
    <w:r w:rsidR="70E3E0CA">
      <w:rPr/>
      <w:t/>
    </w:r>
    <w:r w:rsidR="02E2EF04">
      <w:rPr/>
      <w:t/>
    </w:r>
    <w:r w:rsidR="0AC2330E">
      <w:rPr/>
      <w:t/>
    </w:r>
    <w:r w:rsidR="55EBC6F0">
      <w:rPr/>
      <w:t/>
    </w:r>
    <w:r w:rsidR="7CBAACF9">
      <w:rPr/>
      <w:t/>
    </w:r>
    <w:r w:rsidR="5E95D801">
      <w:rPr/>
      <w:t/>
    </w:r>
  </w:p>
  <w:p w:rsidR="007C0369" w:rsidRDefault="007C0369" w14:paraId="4B94D5A5" w14:textId="77777777">
    <w:pPr>
      <w:pStyle w:val="header0"/>
      <w:rPr>
        <w:lang w:val="pt-BR" w:eastAsia="ja-JP"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369" w:rsidRDefault="007C0369" w14:paraId="62486C05"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normal"/>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strokecolor="none [1]" fillcolor="none [4]"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03"/>
    <w:rsid w:val="00202003"/>
    <w:rsid w:val="003EC319"/>
    <w:rsid w:val="0045D10B"/>
    <w:rsid w:val="007C0369"/>
    <w:rsid w:val="011A3DE7"/>
    <w:rsid w:val="018DA149"/>
    <w:rsid w:val="01B05F4E"/>
    <w:rsid w:val="01C118AE"/>
    <w:rsid w:val="01DD17AB"/>
    <w:rsid w:val="02755086"/>
    <w:rsid w:val="028873EF"/>
    <w:rsid w:val="02E2EF04"/>
    <w:rsid w:val="03020A30"/>
    <w:rsid w:val="0371AFBB"/>
    <w:rsid w:val="03D0E2A4"/>
    <w:rsid w:val="046A174B"/>
    <w:rsid w:val="04A2BF99"/>
    <w:rsid w:val="04EDACAA"/>
    <w:rsid w:val="05C10444"/>
    <w:rsid w:val="06299473"/>
    <w:rsid w:val="06568460"/>
    <w:rsid w:val="068111B8"/>
    <w:rsid w:val="06913E63"/>
    <w:rsid w:val="0792EBE3"/>
    <w:rsid w:val="07D8CFAF"/>
    <w:rsid w:val="08856624"/>
    <w:rsid w:val="08D6B6F9"/>
    <w:rsid w:val="09225A8F"/>
    <w:rsid w:val="0ABC5558"/>
    <w:rsid w:val="0AC2330E"/>
    <w:rsid w:val="0B3B9FB7"/>
    <w:rsid w:val="0B6B2C50"/>
    <w:rsid w:val="0B865C6E"/>
    <w:rsid w:val="0BBB0502"/>
    <w:rsid w:val="0BC7E7EA"/>
    <w:rsid w:val="0BDDF450"/>
    <w:rsid w:val="0C7C6AD2"/>
    <w:rsid w:val="0D1184AF"/>
    <w:rsid w:val="0D70AF2B"/>
    <w:rsid w:val="0E24F183"/>
    <w:rsid w:val="0E541122"/>
    <w:rsid w:val="0E8F619B"/>
    <w:rsid w:val="0EA1344C"/>
    <w:rsid w:val="0EE8B28B"/>
    <w:rsid w:val="0F60554A"/>
    <w:rsid w:val="0FB34462"/>
    <w:rsid w:val="0FD8007F"/>
    <w:rsid w:val="10359C67"/>
    <w:rsid w:val="1071EE9F"/>
    <w:rsid w:val="10963558"/>
    <w:rsid w:val="10E6B721"/>
    <w:rsid w:val="10EED8B1"/>
    <w:rsid w:val="11471A03"/>
    <w:rsid w:val="1181EF3D"/>
    <w:rsid w:val="12F99800"/>
    <w:rsid w:val="12FA176A"/>
    <w:rsid w:val="131F746E"/>
    <w:rsid w:val="136008C4"/>
    <w:rsid w:val="13CE68AC"/>
    <w:rsid w:val="1427D49B"/>
    <w:rsid w:val="1457B216"/>
    <w:rsid w:val="1518FFF5"/>
    <w:rsid w:val="152DD9CE"/>
    <w:rsid w:val="1534110F"/>
    <w:rsid w:val="153F5799"/>
    <w:rsid w:val="1579D903"/>
    <w:rsid w:val="157A9157"/>
    <w:rsid w:val="1698CABE"/>
    <w:rsid w:val="17127133"/>
    <w:rsid w:val="1807225D"/>
    <w:rsid w:val="1814D144"/>
    <w:rsid w:val="1865CC9B"/>
    <w:rsid w:val="1890581F"/>
    <w:rsid w:val="1901335A"/>
    <w:rsid w:val="19133B15"/>
    <w:rsid w:val="19154EE6"/>
    <w:rsid w:val="1935198A"/>
    <w:rsid w:val="19510951"/>
    <w:rsid w:val="1970EB5F"/>
    <w:rsid w:val="199DECB5"/>
    <w:rsid w:val="19D8B638"/>
    <w:rsid w:val="1AF45259"/>
    <w:rsid w:val="1B27C31D"/>
    <w:rsid w:val="1B4BE224"/>
    <w:rsid w:val="1B6F4E21"/>
    <w:rsid w:val="1BE1975F"/>
    <w:rsid w:val="1BF6F91A"/>
    <w:rsid w:val="1BFFC1AC"/>
    <w:rsid w:val="1C1DC1FC"/>
    <w:rsid w:val="1C8D5045"/>
    <w:rsid w:val="1CADD243"/>
    <w:rsid w:val="1CD87912"/>
    <w:rsid w:val="1D8AF953"/>
    <w:rsid w:val="1DF5FA34"/>
    <w:rsid w:val="1E94862B"/>
    <w:rsid w:val="1EDB7DD5"/>
    <w:rsid w:val="1EF803C2"/>
    <w:rsid w:val="1F0DA6B0"/>
    <w:rsid w:val="2015CBAA"/>
    <w:rsid w:val="218C1170"/>
    <w:rsid w:val="2229AC07"/>
    <w:rsid w:val="22B34B0D"/>
    <w:rsid w:val="22EBDFF3"/>
    <w:rsid w:val="22FFFDE7"/>
    <w:rsid w:val="23775DB5"/>
    <w:rsid w:val="24228D87"/>
    <w:rsid w:val="243CB53E"/>
    <w:rsid w:val="249FEE7B"/>
    <w:rsid w:val="24E11AC7"/>
    <w:rsid w:val="24F048EE"/>
    <w:rsid w:val="250B681C"/>
    <w:rsid w:val="260EBE9E"/>
    <w:rsid w:val="26D1509A"/>
    <w:rsid w:val="26E60611"/>
    <w:rsid w:val="270BF134"/>
    <w:rsid w:val="27478F23"/>
    <w:rsid w:val="27534380"/>
    <w:rsid w:val="275411D7"/>
    <w:rsid w:val="27B78973"/>
    <w:rsid w:val="28177849"/>
    <w:rsid w:val="2850BF8C"/>
    <w:rsid w:val="28D5EA11"/>
    <w:rsid w:val="28F4E5F1"/>
    <w:rsid w:val="290120A9"/>
    <w:rsid w:val="29BABDD2"/>
    <w:rsid w:val="29EAC3DB"/>
    <w:rsid w:val="2A1137F6"/>
    <w:rsid w:val="2A1ABD00"/>
    <w:rsid w:val="2A223ABF"/>
    <w:rsid w:val="2A569779"/>
    <w:rsid w:val="2A641168"/>
    <w:rsid w:val="2ABA5DD2"/>
    <w:rsid w:val="2AFF1563"/>
    <w:rsid w:val="2B289123"/>
    <w:rsid w:val="2B2D9461"/>
    <w:rsid w:val="2BFE6054"/>
    <w:rsid w:val="2C163E43"/>
    <w:rsid w:val="2C79525B"/>
    <w:rsid w:val="2C7B78C9"/>
    <w:rsid w:val="2C7BC37F"/>
    <w:rsid w:val="2C8353BF"/>
    <w:rsid w:val="2D21BEDA"/>
    <w:rsid w:val="2D50A3A3"/>
    <w:rsid w:val="2D707A52"/>
    <w:rsid w:val="2DA8FDD1"/>
    <w:rsid w:val="2DE2FD45"/>
    <w:rsid w:val="2EC99CFA"/>
    <w:rsid w:val="2FD86B6D"/>
    <w:rsid w:val="3021743A"/>
    <w:rsid w:val="3035F0AC"/>
    <w:rsid w:val="304D3648"/>
    <w:rsid w:val="30794681"/>
    <w:rsid w:val="30B6746E"/>
    <w:rsid w:val="31BDD33A"/>
    <w:rsid w:val="31C83C39"/>
    <w:rsid w:val="31DE231B"/>
    <w:rsid w:val="32274B2F"/>
    <w:rsid w:val="325115DF"/>
    <w:rsid w:val="326B1058"/>
    <w:rsid w:val="32829B12"/>
    <w:rsid w:val="329E1FEC"/>
    <w:rsid w:val="3413CB94"/>
    <w:rsid w:val="34399C4F"/>
    <w:rsid w:val="344FDF7C"/>
    <w:rsid w:val="349DFCAB"/>
    <w:rsid w:val="350847AC"/>
    <w:rsid w:val="351EB81A"/>
    <w:rsid w:val="357878E3"/>
    <w:rsid w:val="36392970"/>
    <w:rsid w:val="37754CAF"/>
    <w:rsid w:val="382A6415"/>
    <w:rsid w:val="38305892"/>
    <w:rsid w:val="38553815"/>
    <w:rsid w:val="391333A3"/>
    <w:rsid w:val="395A65D4"/>
    <w:rsid w:val="39B0B27F"/>
    <w:rsid w:val="39B1EFED"/>
    <w:rsid w:val="39EAFCFD"/>
    <w:rsid w:val="3A39F47E"/>
    <w:rsid w:val="3AC80B42"/>
    <w:rsid w:val="3AE093D1"/>
    <w:rsid w:val="3B1E335B"/>
    <w:rsid w:val="3B583FD8"/>
    <w:rsid w:val="3C1DD4C8"/>
    <w:rsid w:val="3C4AF868"/>
    <w:rsid w:val="3C5AB4D7"/>
    <w:rsid w:val="3CA53B2A"/>
    <w:rsid w:val="3CCB13B0"/>
    <w:rsid w:val="3D05AC80"/>
    <w:rsid w:val="3D467691"/>
    <w:rsid w:val="3D7D1E9C"/>
    <w:rsid w:val="3E30F165"/>
    <w:rsid w:val="3F0D767E"/>
    <w:rsid w:val="3F335245"/>
    <w:rsid w:val="3FEC162B"/>
    <w:rsid w:val="3FFD7602"/>
    <w:rsid w:val="4034047B"/>
    <w:rsid w:val="4037DBBD"/>
    <w:rsid w:val="406F49BE"/>
    <w:rsid w:val="40DC016D"/>
    <w:rsid w:val="41575A2F"/>
    <w:rsid w:val="4168E205"/>
    <w:rsid w:val="416FD8D3"/>
    <w:rsid w:val="41A4E689"/>
    <w:rsid w:val="41E7DE9B"/>
    <w:rsid w:val="42610754"/>
    <w:rsid w:val="42726258"/>
    <w:rsid w:val="429D7EFC"/>
    <w:rsid w:val="43465F30"/>
    <w:rsid w:val="43E317C9"/>
    <w:rsid w:val="44548369"/>
    <w:rsid w:val="44E23EA8"/>
    <w:rsid w:val="4548237E"/>
    <w:rsid w:val="4596305B"/>
    <w:rsid w:val="45AD25B2"/>
    <w:rsid w:val="45B5A864"/>
    <w:rsid w:val="46448436"/>
    <w:rsid w:val="47080B96"/>
    <w:rsid w:val="47AA1860"/>
    <w:rsid w:val="47CBC881"/>
    <w:rsid w:val="4892F65C"/>
    <w:rsid w:val="48B97122"/>
    <w:rsid w:val="490DAA3A"/>
    <w:rsid w:val="49852305"/>
    <w:rsid w:val="49CEC412"/>
    <w:rsid w:val="49CEDE81"/>
    <w:rsid w:val="4A3F5BC1"/>
    <w:rsid w:val="4A8AFEF5"/>
    <w:rsid w:val="4AC03AD7"/>
    <w:rsid w:val="4B1FB834"/>
    <w:rsid w:val="4B51526D"/>
    <w:rsid w:val="4B966507"/>
    <w:rsid w:val="4B9DD46F"/>
    <w:rsid w:val="4BD611A0"/>
    <w:rsid w:val="4BD899E1"/>
    <w:rsid w:val="4BEBD91D"/>
    <w:rsid w:val="4C4C469F"/>
    <w:rsid w:val="4C637177"/>
    <w:rsid w:val="4C6E7B56"/>
    <w:rsid w:val="4D075F1B"/>
    <w:rsid w:val="4D524122"/>
    <w:rsid w:val="4DAE14D7"/>
    <w:rsid w:val="4DE205BA"/>
    <w:rsid w:val="4DE22C3F"/>
    <w:rsid w:val="4E292710"/>
    <w:rsid w:val="4E45E9E6"/>
    <w:rsid w:val="4EB92E0A"/>
    <w:rsid w:val="4F1F1797"/>
    <w:rsid w:val="4F3F1CCA"/>
    <w:rsid w:val="4FF2340C"/>
    <w:rsid w:val="50089C92"/>
    <w:rsid w:val="501AD251"/>
    <w:rsid w:val="5058E747"/>
    <w:rsid w:val="507780DF"/>
    <w:rsid w:val="508599CF"/>
    <w:rsid w:val="50A0BEF2"/>
    <w:rsid w:val="50E6D6F5"/>
    <w:rsid w:val="5109B9FD"/>
    <w:rsid w:val="5165D971"/>
    <w:rsid w:val="5183132D"/>
    <w:rsid w:val="51B1A933"/>
    <w:rsid w:val="51C87152"/>
    <w:rsid w:val="522CCB97"/>
    <w:rsid w:val="52E7CE36"/>
    <w:rsid w:val="530E3BE7"/>
    <w:rsid w:val="539ED4FB"/>
    <w:rsid w:val="5476AEF8"/>
    <w:rsid w:val="54B6A890"/>
    <w:rsid w:val="54FD013D"/>
    <w:rsid w:val="54FFE072"/>
    <w:rsid w:val="557B02FA"/>
    <w:rsid w:val="55800DBE"/>
    <w:rsid w:val="55D6157B"/>
    <w:rsid w:val="55E8F14E"/>
    <w:rsid w:val="55EBC6F0"/>
    <w:rsid w:val="56907B28"/>
    <w:rsid w:val="569D1E04"/>
    <w:rsid w:val="570755A5"/>
    <w:rsid w:val="57195E16"/>
    <w:rsid w:val="5745F0D6"/>
    <w:rsid w:val="575630AD"/>
    <w:rsid w:val="57605C14"/>
    <w:rsid w:val="5777F720"/>
    <w:rsid w:val="578EF964"/>
    <w:rsid w:val="57997587"/>
    <w:rsid w:val="579EF6BA"/>
    <w:rsid w:val="579F27E7"/>
    <w:rsid w:val="57B531B6"/>
    <w:rsid w:val="57E64C0B"/>
    <w:rsid w:val="57EC06BA"/>
    <w:rsid w:val="5809D486"/>
    <w:rsid w:val="5818BEEB"/>
    <w:rsid w:val="5829AE14"/>
    <w:rsid w:val="583C5497"/>
    <w:rsid w:val="584AD562"/>
    <w:rsid w:val="59F72130"/>
    <w:rsid w:val="5A3A5458"/>
    <w:rsid w:val="5A423258"/>
    <w:rsid w:val="5AA066A8"/>
    <w:rsid w:val="5AB457E8"/>
    <w:rsid w:val="5AB78EB4"/>
    <w:rsid w:val="5ADBEE17"/>
    <w:rsid w:val="5AE764E8"/>
    <w:rsid w:val="5B2F5374"/>
    <w:rsid w:val="5BA92E06"/>
    <w:rsid w:val="5CAC47AA"/>
    <w:rsid w:val="5CB95FBA"/>
    <w:rsid w:val="5CC1B93C"/>
    <w:rsid w:val="5CD0CEA0"/>
    <w:rsid w:val="5CEE0937"/>
    <w:rsid w:val="5CF73D8F"/>
    <w:rsid w:val="5DAAA448"/>
    <w:rsid w:val="5DBABDDD"/>
    <w:rsid w:val="5E51135D"/>
    <w:rsid w:val="5E95D801"/>
    <w:rsid w:val="5EE48871"/>
    <w:rsid w:val="5F275302"/>
    <w:rsid w:val="5F4FE60A"/>
    <w:rsid w:val="5FF1BB5F"/>
    <w:rsid w:val="5FF91F10"/>
    <w:rsid w:val="60485C6E"/>
    <w:rsid w:val="607307A3"/>
    <w:rsid w:val="60C430F4"/>
    <w:rsid w:val="60D09354"/>
    <w:rsid w:val="60DAB941"/>
    <w:rsid w:val="613D0FF2"/>
    <w:rsid w:val="61AB08F1"/>
    <w:rsid w:val="624FE6C4"/>
    <w:rsid w:val="629068A2"/>
    <w:rsid w:val="62ADA9D6"/>
    <w:rsid w:val="64F8384A"/>
    <w:rsid w:val="652EA77C"/>
    <w:rsid w:val="65681C07"/>
    <w:rsid w:val="65C51417"/>
    <w:rsid w:val="6617C701"/>
    <w:rsid w:val="6618773A"/>
    <w:rsid w:val="66197A0C"/>
    <w:rsid w:val="664FDE5F"/>
    <w:rsid w:val="666ECDC1"/>
    <w:rsid w:val="66E29DA0"/>
    <w:rsid w:val="670BCACA"/>
    <w:rsid w:val="67373161"/>
    <w:rsid w:val="673A3247"/>
    <w:rsid w:val="673F51B3"/>
    <w:rsid w:val="67EB8E90"/>
    <w:rsid w:val="68346972"/>
    <w:rsid w:val="685E1E60"/>
    <w:rsid w:val="686EF75B"/>
    <w:rsid w:val="6988579C"/>
    <w:rsid w:val="69DA4EC7"/>
    <w:rsid w:val="6A06378C"/>
    <w:rsid w:val="6A3F4F06"/>
    <w:rsid w:val="6A8A3B67"/>
    <w:rsid w:val="6A8CC4AA"/>
    <w:rsid w:val="6A9A8C88"/>
    <w:rsid w:val="6B17C02F"/>
    <w:rsid w:val="6B8479DD"/>
    <w:rsid w:val="6B90207F"/>
    <w:rsid w:val="6BA690F2"/>
    <w:rsid w:val="6C0FD428"/>
    <w:rsid w:val="6CC94BED"/>
    <w:rsid w:val="6CD60C8C"/>
    <w:rsid w:val="6D55154E"/>
    <w:rsid w:val="6DD13336"/>
    <w:rsid w:val="6DD762FE"/>
    <w:rsid w:val="6DD7C7BE"/>
    <w:rsid w:val="6DD98B48"/>
    <w:rsid w:val="6DDDEF66"/>
    <w:rsid w:val="6E3AF4EB"/>
    <w:rsid w:val="6EAAFFA4"/>
    <w:rsid w:val="6EFC688C"/>
    <w:rsid w:val="6F618785"/>
    <w:rsid w:val="6FBB7215"/>
    <w:rsid w:val="6FC5C4ED"/>
    <w:rsid w:val="6FD542FD"/>
    <w:rsid w:val="6FEFAB6E"/>
    <w:rsid w:val="6FF87EE9"/>
    <w:rsid w:val="70E3E0CA"/>
    <w:rsid w:val="70F9E913"/>
    <w:rsid w:val="7113FB25"/>
    <w:rsid w:val="7176019A"/>
    <w:rsid w:val="71AE9D1F"/>
    <w:rsid w:val="72E1F3AB"/>
    <w:rsid w:val="72E21666"/>
    <w:rsid w:val="7314C9F9"/>
    <w:rsid w:val="74345761"/>
    <w:rsid w:val="74940B0A"/>
    <w:rsid w:val="74BBCEAC"/>
    <w:rsid w:val="75406660"/>
    <w:rsid w:val="758C1458"/>
    <w:rsid w:val="75D6C053"/>
    <w:rsid w:val="76691B3D"/>
    <w:rsid w:val="766C430A"/>
    <w:rsid w:val="777B121B"/>
    <w:rsid w:val="7787BB94"/>
    <w:rsid w:val="778D9E2C"/>
    <w:rsid w:val="77A586A0"/>
    <w:rsid w:val="77CDC1A9"/>
    <w:rsid w:val="78422B73"/>
    <w:rsid w:val="78AFEB4B"/>
    <w:rsid w:val="79285221"/>
    <w:rsid w:val="79F0F4D9"/>
    <w:rsid w:val="7A282B93"/>
    <w:rsid w:val="7A6BF477"/>
    <w:rsid w:val="7A7943E2"/>
    <w:rsid w:val="7A849348"/>
    <w:rsid w:val="7B06374C"/>
    <w:rsid w:val="7B5C64F5"/>
    <w:rsid w:val="7B6DEFF0"/>
    <w:rsid w:val="7C109552"/>
    <w:rsid w:val="7C523433"/>
    <w:rsid w:val="7CBAACF9"/>
    <w:rsid w:val="7DD6E924"/>
    <w:rsid w:val="7E150252"/>
    <w:rsid w:val="7E162CC9"/>
    <w:rsid w:val="7E956653"/>
    <w:rsid w:val="7EA78B3B"/>
    <w:rsid w:val="7EB574F8"/>
    <w:rsid w:val="7F61D06C"/>
    <w:rsid w:val="7F6BA821"/>
    <w:rsid w:val="7FA136C6"/>
    <w:rsid w:val="7FFFD57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 fillcolor="none [4]" shadowcolor="none [2]"/>
    </o:shapedefaults>
    <o:shapelayout v:ext="edit">
      <o:idmap v:ext="edit" data="2"/>
    </o:shapelayout>
  </w:shapeDefaults>
  <w:doNotEmbedSmartTags/>
  <w:decimalSymbol w:val="."/>
  <w:listSeparator w:val=","/>
  <w14:docId w14:val="54740219"/>
  <w15:chartTrackingRefBased/>
  <w15:docId w15:val="{60A14925-F77F-4B47-9C33-0CD4F99A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Lucida Sans Unicode" w:cs="Tahoma"/>
      <w:color w:val="000000"/>
      <w:sz w:val="24"/>
      <w:szCs w:val="24"/>
      <w:lang w:val="en-US" w:eastAsia="zh-CN" w:bidi="en-US"/>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Fontepargpadro1" w:customStyle="1">
    <w:name w:val="Fonte parág. padrão1"/>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8Num1z0" w:customStyle="1">
    <w:name w:val="WW8Num1z0"/>
    <w:rPr>
      <w:rFonts w:ascii="Symbol" w:hAnsi="Symbol" w:cs="OpenSymbol"/>
    </w:rPr>
  </w:style>
  <w:style w:type="character" w:styleId="WW8Num1z1" w:customStyle="1">
    <w:name w:val="WW8Num1z1"/>
    <w:rPr>
      <w:rFonts w:ascii="Symbol" w:hAnsi="Symbol" w:cs="OpenSymbol"/>
    </w:rPr>
  </w:style>
  <w:style w:type="character" w:styleId="WW8Num2z0" w:customStyle="1">
    <w:name w:val="WW8Num2z0"/>
    <w:rPr>
      <w:rFonts w:ascii="Symbol" w:hAnsi="Symbol" w:cs="OpenSymbol"/>
    </w:rPr>
  </w:style>
  <w:style w:type="character" w:styleId="WW8Num2z1" w:customStyle="1">
    <w:name w:val="WW8Num2z1"/>
    <w:rPr>
      <w:rFonts w:ascii="Symbol" w:hAnsi="Symbol" w:cs="OpenSymbol"/>
    </w:rPr>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Marcadores" w:customStyle="1">
    <w:name w:val="Marcadores"/>
    <w:rPr>
      <w:rFonts w:ascii="OpenSymbol" w:hAnsi="OpenSymbol" w:eastAsia="OpenSymbol" w:cs="OpenSymbol"/>
    </w:rPr>
  </w:style>
  <w:style w:type="character" w:styleId="CabealhoChar" w:customStyle="1">
    <w:name w:val="Cabeçalho Char"/>
    <w:basedOn w:val="Fontepargpadro1"/>
    <w:rPr>
      <w:rFonts w:eastAsia="Lucida Sans Unicode" w:cs="Tahoma"/>
      <w:color w:val="000000"/>
      <w:sz w:val="24"/>
      <w:szCs w:val="24"/>
      <w:lang w:val="en-US" w:bidi="en-US"/>
    </w:rPr>
  </w:style>
  <w:style w:type="character" w:styleId="RodapChar" w:customStyle="1">
    <w:name w:val="Rodapé Char"/>
    <w:basedOn w:val="Fontepargpadro1"/>
    <w:rPr>
      <w:rFonts w:eastAsia="Lucida Sans Unicode" w:cs="Tahoma"/>
      <w:color w:val="000000"/>
      <w:sz w:val="24"/>
      <w:szCs w:val="24"/>
      <w:lang w:val="en-US" w:bidi="en-US"/>
    </w:rPr>
  </w:style>
  <w:style w:type="character" w:styleId="nfase">
    <w:name w:val="Emphasis"/>
    <w:qFormat/>
    <w:rPr>
      <w:i/>
      <w:iCs/>
    </w:rPr>
  </w:style>
  <w:style w:type="character" w:styleId="Caracteresdenotaderodap" w:customStyle="1">
    <w:name w:val="Caracteres de nota de rodapé"/>
  </w:style>
  <w:style w:type="character" w:styleId="Refdenotaderodap">
    <w:name w:val="footnote reference"/>
    <w:rPr>
      <w:vertAlign w:val="superscript"/>
    </w:rPr>
  </w:style>
  <w:style w:type="character" w:styleId="Caracteresdenotadefim" w:customStyle="1">
    <w:name w:val="Caracteres de nota de fim"/>
    <w:rPr>
      <w:vertAlign w:val="superscript"/>
    </w:rPr>
  </w:style>
  <w:style w:type="character" w:styleId="WW-Caracteresdenotadefim" w:customStyle="1">
    <w:name w:val="WW-Caracteres de nota de fim"/>
  </w:style>
  <w:style w:type="paragraph" w:styleId="Ttulo1" w:customStyle="1">
    <w:name w:val="Título1"/>
    <w:basedOn w:val="Normal"/>
    <w:next w:val="Corpodetexto"/>
    <w:pPr>
      <w:keepNext/>
      <w:spacing w:before="240" w:after="120"/>
    </w:pPr>
    <w:rPr>
      <w:rFonts w:ascii="Liberation Sans" w:hAnsi="Liberation Sans" w:eastAsia="Microsoft YaHei"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styleId="ndice" w:customStyle="1">
    <w:name w:val="Índice"/>
    <w:basedOn w:val="Normal"/>
    <w:pPr>
      <w:suppressLineNumbers/>
    </w:pPr>
  </w:style>
  <w:style w:type="paragraph" w:styleId="Legenda1" w:customStyle="1">
    <w:name w:val="Legenda1"/>
    <w:basedOn w:val="Normal"/>
    <w:pPr>
      <w:suppressLineNumbers/>
      <w:spacing w:before="120" w:after="120"/>
    </w:pPr>
    <w:rPr>
      <w:i/>
      <w:iCs/>
      <w:sz w:val="20"/>
      <w:szCs w:val="20"/>
    </w:rPr>
  </w:style>
  <w:style w:type="paragraph" w:styleId="Cabealho1" w:customStyle="1">
    <w:name w:val="Cabeçalho1"/>
    <w:basedOn w:val="Normal"/>
    <w:pPr>
      <w:tabs>
        <w:tab w:val="center" w:pos="4419"/>
        <w:tab w:val="right" w:pos="8838"/>
      </w:tabs>
    </w:pPr>
  </w:style>
  <w:style w:type="paragraph" w:styleId="Recuodecorpodetexto22" w:customStyle="1">
    <w:name w:val="Recuo de corpo de texto 22"/>
    <w:basedOn w:val="Normal"/>
    <w:pPr>
      <w:ind w:firstLine="1980"/>
      <w:jc w:val="both"/>
    </w:pPr>
    <w:rPr>
      <w:rFonts w:ascii="Arial" w:hAnsi="Arial" w:cs="Arial"/>
      <w:kern w:val="1"/>
    </w:rPr>
  </w:style>
  <w:style w:type="paragraph" w:styleId="Recuodecorpodetexto21" w:customStyle="1">
    <w:name w:val="Recuo de corpo de texto 21"/>
    <w:basedOn w:val="Normal"/>
    <w:pPr>
      <w:ind w:firstLine="1980"/>
      <w:jc w:val="both"/>
    </w:pPr>
    <w:rPr>
      <w:rFonts w:ascii="Arial" w:hAnsi="Arial" w:cs="Arial"/>
    </w:rPr>
  </w:style>
  <w:style w:type="paragraph" w:styleId="Recuodecorpodetexto">
    <w:name w:val="Body Text Indent"/>
    <w:basedOn w:val="Normal"/>
    <w:pPr>
      <w:ind w:firstLine="1701"/>
      <w:jc w:val="both"/>
    </w:pPr>
    <w:rPr>
      <w:rFonts w:ascii="Footlight MT Light" w:hAnsi="Footlight MT Light" w:cs="Footlight MT Light"/>
      <w:sz w:val="26"/>
      <w:szCs w:val="20"/>
    </w:rPr>
  </w:style>
  <w:style w:type="paragraph" w:styleId="header0" w:customStyle="1">
    <w:name w:val="header0"/>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WW-Recuodecorpodetexto3" w:customStyle="1">
    <w:name w:val="WW-Recuo de corpo de texto 3"/>
    <w:basedOn w:val="Normal"/>
    <w:pPr>
      <w:ind w:firstLine="1701"/>
      <w:jc w:val="both"/>
    </w:pPr>
    <w:rPr>
      <w:rFonts w:ascii="Footlight MT Light" w:hAnsi="Footlight MT Light" w:cs="Footlight MT Light"/>
      <w:bCs/>
    </w:rPr>
  </w:style>
  <w:style w:type="paragraph" w:styleId="Textodenotaderodap">
    <w:name w:val="footnote text"/>
    <w:basedOn w:val="Normal"/>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ontepargpadr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planalto.gov.br/ccivil_03/_Ato2011-2014/2011/Lei/L12441.htm" TargetMode="External" Id="Rb31e88321cfd4291" /><Relationship Type="http://schemas.openxmlformats.org/officeDocument/2006/relationships/hyperlink" Target="http://www.planalto.gov.br/ccivil_03/_Ato2011-2014/2011/Lei/L12441.htm" TargetMode="External" Id="Rd525a58f8026487d" /><Relationship Type="http://schemas.openxmlformats.org/officeDocument/2006/relationships/hyperlink" Target="http://www.planalto.gov.br/ccivil_03/_Ato2019-2022/2019/Lei/L13874.htm" TargetMode="External" Id="Rc26b5a9219c74bf7" /><Relationship Type="http://schemas.openxmlformats.org/officeDocument/2006/relationships/hyperlink" Target="http://www.planalto.gov.br/ccivil_03/_Ato2019-2022/2019/Lei/L13874.htm" TargetMode="External" Id="R966ac222173e486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b6eeba-3a10-414c-ad98-70c611c99d06">
      <UserInfo>
        <DisplayName>Maria Paula Simões Silva</DisplayName>
        <AccountId>7</AccountId>
        <AccountType/>
      </UserInfo>
      <UserInfo>
        <DisplayName>Monica Fabiane da Silva Sobrinho</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C8519F26F45B47B8A6DE92056F3C7D" ma:contentTypeVersion="11" ma:contentTypeDescription="Criar um novo documento." ma:contentTypeScope="" ma:versionID="09e006de472c1713a581ad1109b725f8">
  <xsd:schema xmlns:xsd="http://www.w3.org/2001/XMLSchema" xmlns:xs="http://www.w3.org/2001/XMLSchema" xmlns:p="http://schemas.microsoft.com/office/2006/metadata/properties" xmlns:ns2="762e79e3-078d-4a18-b90f-46af15fd4f35" xmlns:ns3="9cb6eeba-3a10-414c-ad98-70c611c99d06" targetNamespace="http://schemas.microsoft.com/office/2006/metadata/properties" ma:root="true" ma:fieldsID="04e8db60ab1daf70c79a795feaea5b33" ns2:_="" ns3:_="">
    <xsd:import namespace="762e79e3-078d-4a18-b90f-46af15fd4f35"/>
    <xsd:import namespace="9cb6eeba-3a10-414c-ad98-70c611c99d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e79e3-078d-4a18-b90f-46af15fd4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6eeba-3a10-414c-ad98-70c611c99d06"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AE7D1-ECA5-4CE4-AD33-22E09DC6F3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3057E-0D07-43BD-BF72-77F1D85D6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e79e3-078d-4a18-b90f-46af15fd4f35"/>
    <ds:schemaRef ds:uri="9cb6eeba-3a10-414c-ad98-70c611c99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6C23D-8E82-46C1-98AD-E6D3A151D6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carolinesantana</dc:creator>
  <keywords/>
  <lastModifiedBy>Eduardo Loula Novais De Paula</lastModifiedBy>
  <revision>21</revision>
  <lastPrinted>2019-07-10T19:24:00.0000000Z</lastPrinted>
  <dcterms:created xsi:type="dcterms:W3CDTF">2020-08-28T12:40:00.0000000Z</dcterms:created>
  <dcterms:modified xsi:type="dcterms:W3CDTF">2020-10-16T12:25:28.5710418Z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0x010100EAC8519F26F45B47B8A6DE92056F3C7D</vt:lpwstr>
  </property>
</Properties>
</file>