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EC0D" w14:textId="77777777" w:rsidR="004B4EF0" w:rsidRDefault="00435053">
      <w:pPr>
        <w:spacing w:before="280" w:after="0" w:line="360" w:lineRule="auto"/>
        <w:ind w:left="1416" w:firstLine="708"/>
        <w:jc w:val="both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pt-BR"/>
        </w:rPr>
        <w:t>RECOMENDAÇÃO Nº XX/2020</w:t>
      </w:r>
    </w:p>
    <w:p w14:paraId="32D07E13" w14:textId="77777777" w:rsidR="004B4EF0" w:rsidRDefault="00435053">
      <w:pPr>
        <w:spacing w:before="280" w:after="0" w:line="360" w:lineRule="auto"/>
        <w:ind w:left="4547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Recomenda às entidades responsáveis pela execução da política de atendimento dos direitos da criança e do adolescente a adoção de condutas de prevenção ao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t-BR"/>
        </w:rPr>
        <w:t>.</w:t>
      </w:r>
    </w:p>
    <w:p w14:paraId="03816018" w14:textId="77777777" w:rsidR="004B4EF0" w:rsidRDefault="00435053">
      <w:pPr>
        <w:spacing w:before="280" w:after="0" w:line="360" w:lineRule="auto"/>
        <w:jc w:val="both"/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ab/>
        <w:t>O MINISTÉRIO PÚBLICO DO ESTADO DA BAHIA</w:t>
      </w:r>
      <w:r>
        <w:rPr>
          <w:rFonts w:eastAsia="Times New Roman" w:cs="Times New Roman"/>
          <w:sz w:val="24"/>
          <w:szCs w:val="24"/>
          <w:lang w:eastAsia="pt-BR"/>
        </w:rPr>
        <w:t xml:space="preserve">, através do </w:t>
      </w:r>
      <w:r>
        <w:rPr>
          <w:rFonts w:eastAsia="Times New Roman" w:cs="Times New Roman"/>
          <w:sz w:val="24"/>
          <w:szCs w:val="24"/>
          <w:lang w:eastAsia="pt-BR"/>
        </w:rPr>
        <w:t>Promotor de Justiça infrafirmado, com supedâneo no plexo de atribuições descritas no artigo 129, IX, da Constituição Federal; artigo 75, IV, da Lei Complementar 11/96; artigo 6º, XX, da Lei Complementar nº 75/93; artigo 201, VIII e §§ 2º e 5º, “c”, do Esta</w:t>
      </w:r>
      <w:r>
        <w:rPr>
          <w:rFonts w:eastAsia="Times New Roman" w:cs="Times New Roman"/>
          <w:sz w:val="24"/>
          <w:szCs w:val="24"/>
          <w:lang w:eastAsia="pt-BR"/>
        </w:rPr>
        <w:t>tuto da Criança e do Adolescente,</w:t>
      </w:r>
    </w:p>
    <w:p w14:paraId="15502D3F" w14:textId="77777777" w:rsidR="004B4EF0" w:rsidRDefault="00435053">
      <w:pPr>
        <w:spacing w:before="280" w:after="0" w:line="36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ab/>
        <w:t>CONSIDERANDO</w:t>
      </w:r>
      <w:r>
        <w:rPr>
          <w:color w:val="000000"/>
          <w:sz w:val="24"/>
          <w:szCs w:val="24"/>
        </w:rPr>
        <w:t xml:space="preserve"> que a Constituição Federal incumbiu o Ministério Público da defesa da ordem jurídica, do regime democrático e dos interesses sociais e individuais indisponíveis (art. 127), cabendo-lhe zelar pelo efetivo resp</w:t>
      </w:r>
      <w:r>
        <w:rPr>
          <w:color w:val="000000"/>
          <w:sz w:val="24"/>
          <w:szCs w:val="24"/>
        </w:rPr>
        <w:t>eito aos direitos e garantias legais assegurados às crianças e adolescentes, promovendo as medidas judiciais e extrajudiciais cabíveis, nos termos dos artigos 129, II, da Constituição Federal e art. 201, VIII e §5º, do ECA;</w:t>
      </w:r>
    </w:p>
    <w:p w14:paraId="3FE48A07" w14:textId="77777777" w:rsidR="004B4EF0" w:rsidRDefault="00435053">
      <w:pPr>
        <w:spacing w:before="280" w:after="0" w:line="36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Lucida Sans Unicode" w:cs="Arial"/>
          <w:b/>
          <w:bCs/>
          <w:color w:val="000000"/>
          <w:sz w:val="24"/>
          <w:szCs w:val="24"/>
          <w:lang w:eastAsia="pt-BR"/>
        </w:rPr>
        <w:t>CONSIDERANDO que a Constituição</w:t>
      </w:r>
      <w:r>
        <w:rPr>
          <w:rFonts w:eastAsia="Lucida Sans Unicode" w:cs="Arial"/>
          <w:b/>
          <w:bCs/>
          <w:color w:val="000000"/>
          <w:sz w:val="24"/>
          <w:szCs w:val="24"/>
          <w:lang w:eastAsia="pt-BR"/>
        </w:rPr>
        <w:t xml:space="preserve"> Federal estabelece:</w:t>
      </w:r>
    </w:p>
    <w:p w14:paraId="3D8FF49A" w14:textId="77777777" w:rsidR="004B4EF0" w:rsidRDefault="004B4EF0">
      <w:pPr>
        <w:spacing w:line="360" w:lineRule="auto"/>
        <w:ind w:firstLine="3975"/>
        <w:jc w:val="both"/>
        <w:rPr>
          <w:rFonts w:eastAsia="Lucida Sans Unicode" w:cs="Arial"/>
          <w:color w:val="000000"/>
          <w:sz w:val="24"/>
          <w:szCs w:val="24"/>
        </w:rPr>
      </w:pPr>
    </w:p>
    <w:p w14:paraId="56A78B6A" w14:textId="77777777" w:rsidR="004B4EF0" w:rsidRDefault="00435053">
      <w:pPr>
        <w:spacing w:line="360" w:lineRule="auto"/>
        <w:ind w:left="2835"/>
        <w:jc w:val="both"/>
      </w:pPr>
      <w:r>
        <w:rPr>
          <w:rFonts w:eastAsia="Lucida Sans Unicode" w:cs="Arial"/>
          <w:color w:val="000000"/>
          <w:sz w:val="24"/>
          <w:szCs w:val="24"/>
        </w:rPr>
        <w:t xml:space="preserve">Art.196 </w:t>
      </w:r>
      <w:r>
        <w:rPr>
          <w:rFonts w:eastAsia="Lucida Sans Unicode" w:cs="Arial"/>
          <w:i/>
          <w:iCs/>
          <w:color w:val="000000"/>
          <w:sz w:val="24"/>
          <w:szCs w:val="24"/>
        </w:rPr>
        <w:t>“A saúde é direito de todos e dever do Estado, garantindo mediante políticas sociais e econômicas que visem à redução do risco de doença e de outros agravos e ao acesso universal e igualitário as ações e serviços para sua prom</w:t>
      </w:r>
      <w:r>
        <w:rPr>
          <w:rFonts w:eastAsia="Lucida Sans Unicode" w:cs="Arial"/>
          <w:i/>
          <w:iCs/>
          <w:color w:val="000000"/>
          <w:sz w:val="24"/>
          <w:szCs w:val="24"/>
        </w:rPr>
        <w:t xml:space="preserve">oção, proteção e </w:t>
      </w:r>
      <w:r>
        <w:rPr>
          <w:rFonts w:eastAsia="Lucida Sans Unicode" w:cs="Arial"/>
          <w:color w:val="000000"/>
          <w:sz w:val="24"/>
          <w:szCs w:val="24"/>
        </w:rPr>
        <w:t>recuperação</w:t>
      </w:r>
      <w:r>
        <w:rPr>
          <w:rFonts w:eastAsia="Lucida Sans Unicode" w:cs="Arial"/>
          <w:i/>
          <w:iCs/>
          <w:color w:val="000000"/>
          <w:sz w:val="24"/>
          <w:szCs w:val="24"/>
        </w:rPr>
        <w:t>”;</w:t>
      </w:r>
    </w:p>
    <w:p w14:paraId="749C48AE" w14:textId="77777777" w:rsidR="004B4EF0" w:rsidRDefault="00435053">
      <w:pPr>
        <w:spacing w:before="280" w:after="0" w:line="36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ab/>
        <w:t xml:space="preserve">CONSIDERANDO </w:t>
      </w:r>
      <w:r>
        <w:rPr>
          <w:color w:val="000000"/>
          <w:sz w:val="24"/>
          <w:szCs w:val="24"/>
        </w:rPr>
        <w:t>que a Lei Federal nº8.069/90 (ECA), no art. 4º, dispõe ser “</w:t>
      </w:r>
      <w:r>
        <w:rPr>
          <w:i/>
          <w:color w:val="000000"/>
          <w:sz w:val="24"/>
          <w:szCs w:val="24"/>
        </w:rPr>
        <w:t xml:space="preserve">dever da família, da comunidade, da sociedade em geral e do Poder Público assegurar, com absoluta prioridade, a efetivação dos direitos </w:t>
      </w:r>
      <w:r>
        <w:rPr>
          <w:i/>
          <w:color w:val="000000"/>
          <w:sz w:val="24"/>
          <w:szCs w:val="24"/>
        </w:rPr>
        <w:t xml:space="preserve">referentes à vida, à </w:t>
      </w:r>
      <w:r>
        <w:rPr>
          <w:i/>
          <w:color w:val="000000"/>
          <w:sz w:val="24"/>
          <w:szCs w:val="24"/>
        </w:rPr>
        <w:lastRenderedPageBreak/>
        <w:t>saúde, à alimentação, à educação, ao esporte, ao lazer, à profissionalização, ao respeito, à liberdade e a convivência familiar e comunitária</w:t>
      </w:r>
      <w:r>
        <w:rPr>
          <w:color w:val="000000"/>
          <w:sz w:val="24"/>
          <w:szCs w:val="24"/>
        </w:rPr>
        <w:t>”, em consonância com o disposto no art.227, da Carta Magna;</w:t>
      </w:r>
    </w:p>
    <w:p w14:paraId="2A9D3FFC" w14:textId="77777777" w:rsidR="004B4EF0" w:rsidRDefault="00435053">
      <w:pPr>
        <w:spacing w:before="280" w:after="0" w:line="360" w:lineRule="auto"/>
        <w:jc w:val="both"/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 xml:space="preserve">que </w:t>
      </w:r>
      <w:r>
        <w:rPr>
          <w:i/>
          <w:color w:val="000000"/>
          <w:sz w:val="24"/>
          <w:szCs w:val="24"/>
        </w:rPr>
        <w:t>“Nenhuma crianç</w:t>
      </w:r>
      <w:r>
        <w:rPr>
          <w:i/>
          <w:color w:val="000000"/>
          <w:sz w:val="24"/>
          <w:szCs w:val="24"/>
        </w:rPr>
        <w:t xml:space="preserve">a ou adolescente será objeto de qualquer forma de negligência, discriminação, exploração, violência, crueldade e opressão, punido na forma da lei qualquer atentado, por ação ou omissão, aos seus direitos fundamentais” </w:t>
      </w:r>
      <w:r>
        <w:rPr>
          <w:color w:val="000000"/>
          <w:sz w:val="24"/>
          <w:szCs w:val="24"/>
        </w:rPr>
        <w:t>(art.5º, ECA);</w:t>
      </w:r>
    </w:p>
    <w:p w14:paraId="6DAC7B4A" w14:textId="77777777" w:rsidR="004B4EF0" w:rsidRDefault="00435053">
      <w:pPr>
        <w:spacing w:before="280" w:after="0" w:line="360" w:lineRule="auto"/>
        <w:jc w:val="both"/>
      </w:pP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Lucida Sans Unicode" w:cs="Arial"/>
          <w:b/>
          <w:bCs/>
          <w:color w:val="000000"/>
          <w:sz w:val="24"/>
          <w:szCs w:val="24"/>
        </w:rPr>
        <w:t>CONSIDERANDO</w:t>
      </w:r>
      <w:r>
        <w:rPr>
          <w:rFonts w:eastAsia="Lucida Sans Unicode" w:cs="Arial"/>
          <w:color w:val="000000"/>
          <w:sz w:val="24"/>
          <w:szCs w:val="24"/>
        </w:rPr>
        <w:t xml:space="preserve"> que o Est</w:t>
      </w:r>
      <w:r>
        <w:rPr>
          <w:rFonts w:eastAsia="Lucida Sans Unicode" w:cs="Arial"/>
          <w:color w:val="000000"/>
          <w:sz w:val="24"/>
          <w:szCs w:val="24"/>
        </w:rPr>
        <w:t xml:space="preserve">atuto determina, no seu art. 11, </w:t>
      </w:r>
      <w:r>
        <w:rPr>
          <w:rFonts w:eastAsia="Lucida Sans Unicode" w:cs="Arial"/>
          <w:i/>
          <w:iCs/>
          <w:color w:val="000000"/>
          <w:sz w:val="24"/>
          <w:szCs w:val="24"/>
        </w:rPr>
        <w:t>caput</w:t>
      </w:r>
      <w:r>
        <w:rPr>
          <w:rFonts w:eastAsia="Lucida Sans Unicode" w:cs="Arial"/>
          <w:color w:val="000000"/>
          <w:sz w:val="24"/>
          <w:szCs w:val="24"/>
        </w:rPr>
        <w:t>, que o Sistema Único de Saúde – SUS – assegurará o atendimento médico à criança e ao adolescente, por intermédio do Sistema Único de Saúde, garantindo acesso universal e igualitário às ações e serviços para a promoção</w:t>
      </w:r>
      <w:r>
        <w:rPr>
          <w:rFonts w:eastAsia="Lucida Sans Unicode" w:cs="Arial"/>
          <w:color w:val="000000"/>
          <w:sz w:val="24"/>
          <w:szCs w:val="24"/>
        </w:rPr>
        <w:t>, proteção e recuperação da saúde;</w:t>
      </w:r>
      <w:r>
        <w:rPr>
          <w:rFonts w:eastAsia="Lucida Sans Unicode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eastAsia="Lucida Sans Unicode" w:cs="Arial"/>
          <w:color w:val="CE181E"/>
          <w:sz w:val="24"/>
          <w:szCs w:val="24"/>
        </w:rPr>
        <w:t xml:space="preserve">     </w:t>
      </w:r>
      <w:r>
        <w:rPr>
          <w:rFonts w:eastAsia="Lucida Sans Unicode" w:cs="Arial"/>
          <w:i/>
          <w:iCs/>
          <w:color w:val="CE181E"/>
          <w:sz w:val="24"/>
          <w:szCs w:val="24"/>
        </w:rPr>
        <w:t xml:space="preserve">     </w:t>
      </w:r>
    </w:p>
    <w:p w14:paraId="0D02B06F" w14:textId="77777777" w:rsidR="004B4EF0" w:rsidRDefault="00435053">
      <w:pPr>
        <w:spacing w:before="280" w:after="0" w:line="360" w:lineRule="auto"/>
        <w:jc w:val="both"/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CONSIDERANDO </w:t>
      </w:r>
      <w:r>
        <w:rPr>
          <w:color w:val="000000"/>
          <w:sz w:val="24"/>
          <w:szCs w:val="24"/>
        </w:rPr>
        <w:t>que, nos termos do art.90, do Estatuto da Criança e do Adolescente, as e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ntidades responsáveis pela execução da política de atendimento dos direitos da criança e do adolescente são</w:t>
      </w:r>
      <w:r>
        <w:rPr>
          <w:sz w:val="24"/>
          <w:szCs w:val="24"/>
        </w:rPr>
        <w:t xml:space="preserve"> responsáveis pela manutenção das próprias unidades, assim como pelo planejamento e execução de programas de proteção e </w:t>
      </w:r>
      <w:proofErr w:type="gramStart"/>
      <w:r>
        <w:rPr>
          <w:sz w:val="24"/>
          <w:szCs w:val="24"/>
        </w:rPr>
        <w:t>socioeducativos ,</w:t>
      </w:r>
      <w:proofErr w:type="gramEnd"/>
      <w:r>
        <w:rPr>
          <w:sz w:val="24"/>
          <w:szCs w:val="24"/>
        </w:rPr>
        <w:t xml:space="preserve"> em regime de: </w:t>
      </w:r>
    </w:p>
    <w:p w14:paraId="3B375131" w14:textId="77777777" w:rsidR="004B4EF0" w:rsidRDefault="00435053">
      <w:pPr>
        <w:spacing w:before="280" w:after="0" w:line="360" w:lineRule="auto"/>
        <w:jc w:val="both"/>
      </w:pPr>
      <w:r>
        <w:rPr>
          <w:rStyle w:val="nfaseforte"/>
          <w:sz w:val="24"/>
          <w:szCs w:val="24"/>
        </w:rPr>
        <w:t>I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orientação</w:t>
      </w:r>
      <w:proofErr w:type="gramEnd"/>
      <w:r>
        <w:rPr>
          <w:sz w:val="24"/>
          <w:szCs w:val="24"/>
        </w:rPr>
        <w:t xml:space="preserve"> e apoio </w:t>
      </w:r>
      <w:proofErr w:type="spellStart"/>
      <w:r>
        <w:rPr>
          <w:sz w:val="24"/>
          <w:szCs w:val="24"/>
        </w:rPr>
        <w:t>sócio-familiar</w:t>
      </w:r>
      <w:proofErr w:type="spellEnd"/>
      <w:r>
        <w:rPr>
          <w:sz w:val="24"/>
          <w:szCs w:val="24"/>
        </w:rPr>
        <w:t>;</w:t>
      </w:r>
    </w:p>
    <w:p w14:paraId="5432877C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II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apoio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sócio-educativo</w:t>
      </w:r>
      <w:proofErr w:type="spellEnd"/>
      <w:r>
        <w:rPr>
          <w:sz w:val="24"/>
          <w:szCs w:val="24"/>
        </w:rPr>
        <w:t xml:space="preserve"> em meio aberto;</w:t>
      </w:r>
    </w:p>
    <w:p w14:paraId="31849336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III</w:t>
      </w:r>
      <w:r>
        <w:rPr>
          <w:sz w:val="24"/>
          <w:szCs w:val="24"/>
        </w:rPr>
        <w:t xml:space="preserve"> - colocação famil</w:t>
      </w:r>
      <w:r>
        <w:rPr>
          <w:sz w:val="24"/>
          <w:szCs w:val="24"/>
        </w:rPr>
        <w:t>iar;</w:t>
      </w:r>
    </w:p>
    <w:p w14:paraId="46105F6D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IV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acolhimento</w:t>
      </w:r>
      <w:proofErr w:type="gramEnd"/>
      <w:r>
        <w:rPr>
          <w:sz w:val="24"/>
          <w:szCs w:val="24"/>
        </w:rPr>
        <w:t xml:space="preserve"> institucional; </w:t>
      </w:r>
    </w:p>
    <w:p w14:paraId="7D29A625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V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prestação</w:t>
      </w:r>
      <w:proofErr w:type="gramEnd"/>
      <w:r>
        <w:rPr>
          <w:sz w:val="24"/>
          <w:szCs w:val="24"/>
        </w:rPr>
        <w:t xml:space="preserve"> de serviços à comunidade; </w:t>
      </w:r>
    </w:p>
    <w:p w14:paraId="41D7D992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VI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liberdade</w:t>
      </w:r>
      <w:proofErr w:type="gramEnd"/>
      <w:r>
        <w:rPr>
          <w:sz w:val="24"/>
          <w:szCs w:val="24"/>
        </w:rPr>
        <w:t xml:space="preserve"> assistida; </w:t>
      </w:r>
    </w:p>
    <w:p w14:paraId="10C280E5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VII</w:t>
      </w:r>
      <w:r>
        <w:rPr>
          <w:sz w:val="24"/>
          <w:szCs w:val="24"/>
        </w:rPr>
        <w:t xml:space="preserve"> - semiliberdade; </w:t>
      </w:r>
    </w:p>
    <w:p w14:paraId="10D79647" w14:textId="77777777" w:rsidR="004B4EF0" w:rsidRDefault="00435053">
      <w:pPr>
        <w:spacing w:after="0"/>
      </w:pPr>
      <w:r>
        <w:rPr>
          <w:rStyle w:val="nfaseforte"/>
          <w:sz w:val="24"/>
          <w:szCs w:val="24"/>
        </w:rPr>
        <w:t>VIII</w:t>
      </w:r>
      <w:r>
        <w:rPr>
          <w:sz w:val="24"/>
          <w:szCs w:val="24"/>
        </w:rPr>
        <w:t xml:space="preserve"> – internação.</w:t>
      </w:r>
    </w:p>
    <w:p w14:paraId="39ACE767" w14:textId="77777777" w:rsidR="004B4EF0" w:rsidRDefault="00435053">
      <w:pPr>
        <w:spacing w:before="280" w:after="0" w:line="360" w:lineRule="auto"/>
        <w:jc w:val="both"/>
      </w:pPr>
      <w:r>
        <w:rPr>
          <w:b/>
          <w:color w:val="000000"/>
          <w:sz w:val="24"/>
          <w:szCs w:val="24"/>
        </w:rPr>
        <w:tab/>
        <w:t xml:space="preserve">CONSIDERANDO </w:t>
      </w:r>
      <w:r>
        <w:rPr>
          <w:color w:val="000000"/>
          <w:sz w:val="24"/>
          <w:szCs w:val="24"/>
        </w:rPr>
        <w:t>que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 entidades que desenvolvem programas de internação têm, dentre seus deveres, a obrigação </w:t>
      </w:r>
      <w:r>
        <w:rPr>
          <w:color w:val="000000"/>
          <w:sz w:val="24"/>
          <w:szCs w:val="24"/>
        </w:rPr>
        <w:t>de observar os direitos e garantias de que são titulares os acolhidos, de oferecer-lhes instalações em condições adequadas de habitabilidade, higiene, salubridade, segurança e os objetos necessários à higiene pessoal, de oferecer cuidados médicos, psicológ</w:t>
      </w:r>
      <w:r>
        <w:rPr>
          <w:color w:val="000000"/>
          <w:sz w:val="24"/>
          <w:szCs w:val="24"/>
        </w:rPr>
        <w:t xml:space="preserve">icos, odontológicos e farmacêuticos aos acolhidos, e de comunicar às autoridades competentes todos os casos de acolhidos </w:t>
      </w:r>
      <w:r>
        <w:rPr>
          <w:color w:val="000000"/>
          <w:sz w:val="24"/>
          <w:szCs w:val="24"/>
        </w:rPr>
        <w:lastRenderedPageBreak/>
        <w:t>portadores de moléstias infectocontagiosas, conforme art.94, incisos I, VII, IX e XVI , da Lei nº8.060/90, havendo sanções fixadas em l</w:t>
      </w:r>
      <w:r>
        <w:rPr>
          <w:color w:val="000000"/>
          <w:sz w:val="24"/>
          <w:szCs w:val="24"/>
        </w:rPr>
        <w:t xml:space="preserve">ei para a hipótese de descumprimento das obrigações (art.97, Lei nº8.060/90); </w:t>
      </w:r>
    </w:p>
    <w:p w14:paraId="39362A71" w14:textId="77777777" w:rsidR="004B4EF0" w:rsidRDefault="00435053">
      <w:pPr>
        <w:spacing w:before="280" w:after="0" w:line="360" w:lineRule="auto"/>
        <w:jc w:val="both"/>
      </w:pPr>
      <w:r>
        <w:rPr>
          <w:b/>
          <w:color w:val="000000"/>
          <w:sz w:val="24"/>
          <w:szCs w:val="24"/>
        </w:rPr>
        <w:tab/>
        <w:t xml:space="preserve">CONSIDERANDO </w:t>
      </w:r>
      <w:r>
        <w:rPr>
          <w:color w:val="000000"/>
          <w:sz w:val="24"/>
          <w:szCs w:val="24"/>
        </w:rPr>
        <w:t xml:space="preserve">que, nos termos do art.94, §1º, da Lei nº8.069/90, as obrigações referidas anteriormente também se aplicam às </w:t>
      </w:r>
      <w:r>
        <w:rPr>
          <w:color w:val="000000"/>
          <w:sz w:val="24"/>
          <w:szCs w:val="24"/>
        </w:rPr>
        <w:t>entidades que mantêm programas de acolhimento institucional e familiar;</w:t>
      </w:r>
    </w:p>
    <w:p w14:paraId="6E070A96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CONSIDERANDO</w:t>
      </w:r>
      <w:r>
        <w:rPr>
          <w:rFonts w:eastAsia="Times New Roman" w:cs="Calibri"/>
          <w:bCs/>
          <w:sz w:val="24"/>
          <w:szCs w:val="24"/>
          <w:lang w:eastAsia="pt-BR"/>
        </w:rPr>
        <w:t xml:space="preserve"> a identificação de u</w:t>
      </w:r>
      <w:r>
        <w:rPr>
          <w:rFonts w:cs="Calibri"/>
          <w:sz w:val="24"/>
          <w:szCs w:val="24"/>
        </w:rPr>
        <w:t xml:space="preserve">m novo tipo de vírus que ataca o sistema </w:t>
      </w:r>
      <w:r>
        <w:rPr>
          <w:rFonts w:cs="Calibri"/>
          <w:sz w:val="24"/>
          <w:szCs w:val="24"/>
        </w:rPr>
        <w:t>respiratório, denominado como SARS-coV-2, existindo 113.702 (cento e treze mil, setecentos e dois) casos confirmados da doença, com 4.012 (quatro mil e doze) óbitos, em 111 (cento e onze) países (dados atualizados em 10/03/2020 - Ministério da Saúde), have</w:t>
      </w:r>
      <w:r>
        <w:rPr>
          <w:rFonts w:cs="Calibri"/>
          <w:sz w:val="24"/>
          <w:szCs w:val="24"/>
        </w:rPr>
        <w:t>ndo casos confirmados no estado da Bahia;</w:t>
      </w:r>
    </w:p>
    <w:p w14:paraId="1F2E1F05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CONSIDERANDO</w:t>
      </w:r>
      <w:r>
        <w:rPr>
          <w:rFonts w:eastAsia="Times New Roman" w:cs="Calibri"/>
          <w:sz w:val="24"/>
          <w:szCs w:val="24"/>
          <w:lang w:eastAsia="pt-BR"/>
        </w:rPr>
        <w:t xml:space="preserve"> que a Organização Mundial de Saúde – OMS, em 30 de janeiro de 2020, declarou Emergência de Saúde Pública de Importância Internacional – ESPII, dado o grau de avanço dos casos de contaminação pelo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, classificando-o, </w:t>
      </w:r>
      <w:r>
        <w:rPr>
          <w:rFonts w:cs="Calibri"/>
          <w:sz w:val="24"/>
          <w:szCs w:val="24"/>
        </w:rPr>
        <w:t>na última quarta-feira (11/03</w:t>
      </w:r>
      <w:r>
        <w:rPr>
          <w:rFonts w:cs="Calibri"/>
          <w:sz w:val="24"/>
          <w:szCs w:val="24"/>
        </w:rPr>
        <w:t>/2020), como uma “pandemia”, cobrando ações dos governos compatíveis com a gravidade da situação a ser enfrentada</w:t>
      </w:r>
      <w:r>
        <w:rPr>
          <w:rFonts w:eastAsia="Times New Roman" w:cs="Calibri"/>
          <w:sz w:val="24"/>
          <w:szCs w:val="24"/>
          <w:lang w:eastAsia="pt-BR"/>
        </w:rPr>
        <w:t>;</w:t>
      </w:r>
    </w:p>
    <w:p w14:paraId="4768C67A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pt-BR"/>
        </w:rPr>
        <w:t>CONSIDERANDO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pt-BR"/>
        </w:rPr>
        <w:t>o quanto disposto na Lei Federal nº 13.979, de 06/02/2020, sobre as medidas para enfrentamento da emergência de saúde pública de</w:t>
      </w:r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 importância internacional decorrente do </w:t>
      </w:r>
      <w:proofErr w:type="spellStart"/>
      <w:r>
        <w:rPr>
          <w:rFonts w:eastAsia="Times New Roman" w:cs="Calibri"/>
          <w:color w:val="333333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color w:val="333333"/>
          <w:sz w:val="24"/>
          <w:szCs w:val="24"/>
          <w:lang w:eastAsia="pt-BR"/>
        </w:rPr>
        <w:t>;</w:t>
      </w:r>
    </w:p>
    <w:p w14:paraId="199310FC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pt-BR"/>
        </w:rPr>
        <w:t>CONSIDERANDO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pt-BR"/>
        </w:rPr>
        <w:t>a declaração emitida pelo Secretário de Vigilância em Saúde do Ministério da Saúde, Wanderson Oliveira, no dia 13/03/2020, durante coletiva de imprensa, recomendando o cancelamento ou adiam</w:t>
      </w:r>
      <w:r>
        <w:rPr>
          <w:rFonts w:eastAsia="Times New Roman" w:cs="Calibri"/>
          <w:color w:val="333333"/>
          <w:sz w:val="24"/>
          <w:szCs w:val="24"/>
          <w:lang w:eastAsia="pt-BR"/>
        </w:rPr>
        <w:t>ento de eventos em locais fechados com mais de 100 (cem) pessoas, além da adoção de medidas de higienização dos espaços destinados a circulação do público e disponibilização de álcool gel na concentração de 70%, dentre outras ações que reduzam o risco de</w:t>
      </w:r>
      <w:r>
        <w:rPr>
          <w:rFonts w:cs="Calibri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 xml:space="preserve">ontágio do </w:t>
      </w:r>
      <w:proofErr w:type="spellStart"/>
      <w:r>
        <w:rPr>
          <w:rFonts w:cs="Calibri"/>
          <w:sz w:val="24"/>
          <w:szCs w:val="24"/>
        </w:rPr>
        <w:t>coronavírus</w:t>
      </w:r>
      <w:proofErr w:type="spellEnd"/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  (disponível no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 xml:space="preserve"> site</w:t>
      </w:r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 do Ministério da Saúde em </w:t>
      </w:r>
      <w:r>
        <w:rPr>
          <w:rFonts w:eastAsia="Times New Roman" w:cs="Calibri"/>
          <w:color w:val="0070C0"/>
          <w:sz w:val="24"/>
          <w:szCs w:val="24"/>
          <w:u w:val="single"/>
          <w:lang w:eastAsia="pt-BR"/>
        </w:rPr>
        <w:t>www.youtube.com/</w:t>
      </w:r>
      <w:proofErr w:type="spellStart"/>
      <w:r>
        <w:rPr>
          <w:rFonts w:eastAsia="Times New Roman" w:cs="Calibri"/>
          <w:color w:val="0070C0"/>
          <w:sz w:val="24"/>
          <w:szCs w:val="24"/>
          <w:u w:val="single"/>
          <w:lang w:eastAsia="pt-BR"/>
        </w:rPr>
        <w:t>channel</w:t>
      </w:r>
      <w:proofErr w:type="spellEnd"/>
      <w:r>
        <w:rPr>
          <w:rFonts w:eastAsia="Times New Roman" w:cs="Calibri"/>
          <w:color w:val="0070C0"/>
          <w:sz w:val="24"/>
          <w:szCs w:val="24"/>
          <w:u w:val="single"/>
          <w:lang w:eastAsia="pt-BR"/>
        </w:rPr>
        <w:t>/8Mk03KEkVEY</w:t>
      </w:r>
      <w:r>
        <w:rPr>
          <w:rFonts w:eastAsia="Times New Roman" w:cs="Calibri"/>
          <w:color w:val="333333"/>
          <w:sz w:val="24"/>
          <w:szCs w:val="24"/>
          <w:lang w:eastAsia="pt-BR"/>
        </w:rPr>
        <w:t>);</w:t>
      </w:r>
    </w:p>
    <w:p w14:paraId="39FF6525" w14:textId="77777777" w:rsidR="004B4EF0" w:rsidRDefault="00435053">
      <w:pPr>
        <w:spacing w:before="280" w:after="142" w:line="360" w:lineRule="auto"/>
        <w:ind w:firstLine="708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pt-BR"/>
        </w:rPr>
        <w:lastRenderedPageBreak/>
        <w:t xml:space="preserve">CONSIDERANDO 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que dados divulgados pela Secretária Estadual de Saúde, através do “Boletim: Novo </w:t>
      </w:r>
      <w:proofErr w:type="spellStart"/>
      <w:r>
        <w:rPr>
          <w:rFonts w:eastAsia="Times New Roman" w:cs="Calibri"/>
          <w:color w:val="333333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 (13/03/2020)” (</w:t>
      </w:r>
      <w:hyperlink r:id="rId4">
        <w:r>
          <w:rPr>
            <w:rStyle w:val="LinkdaInternet"/>
            <w:rFonts w:cs="Calibri"/>
            <w:color w:val="0066CC"/>
            <w:sz w:val="24"/>
            <w:szCs w:val="24"/>
          </w:rPr>
          <w:t>http://www.saude.ba.gov.br/2020/03/13/boletim-novo-coronavirus-13-03-2020/</w:t>
        </w:r>
      </w:hyperlink>
      <w:r>
        <w:rPr>
          <w:rFonts w:cs="Calibri"/>
          <w:sz w:val="24"/>
          <w:szCs w:val="24"/>
        </w:rPr>
        <w:t xml:space="preserve">) , </w:t>
      </w:r>
      <w:r>
        <w:rPr>
          <w:rFonts w:eastAsia="Times New Roman" w:cs="Calibri"/>
          <w:bCs/>
          <w:color w:val="231F20"/>
          <w:sz w:val="24"/>
          <w:szCs w:val="24"/>
          <w:lang w:eastAsia="pt-BR"/>
        </w:rPr>
        <w:t xml:space="preserve">registram que </w:t>
      </w:r>
      <w:r>
        <w:rPr>
          <w:rFonts w:eastAsia="Times New Roman" w:cs="Calibri"/>
          <w:bCs/>
          <w:i/>
          <w:color w:val="231F20"/>
          <w:sz w:val="24"/>
          <w:szCs w:val="24"/>
          <w:lang w:eastAsia="pt-BR"/>
        </w:rPr>
        <w:t>“De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 xml:space="preserve"> janeiro até às 17 horas desta sexta-feira (13), a Bahia registrou </w:t>
      </w:r>
      <w:r>
        <w:rPr>
          <w:rFonts w:eastAsia="Times New Roman" w:cs="Calibri"/>
          <w:b/>
          <w:i/>
          <w:color w:val="333333"/>
          <w:sz w:val="24"/>
          <w:szCs w:val="24"/>
          <w:lang w:eastAsia="pt-BR"/>
        </w:rPr>
        <w:t>289 casos notificados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b/>
          <w:i/>
          <w:color w:val="333333"/>
          <w:sz w:val="24"/>
          <w:szCs w:val="24"/>
          <w:lang w:eastAsia="pt-BR"/>
        </w:rPr>
        <w:t xml:space="preserve">com suspeita </w:t>
      </w:r>
      <w:r>
        <w:rPr>
          <w:rFonts w:eastAsia="Times New Roman" w:cs="Calibri"/>
          <w:b/>
          <w:i/>
          <w:color w:val="333333"/>
          <w:sz w:val="24"/>
          <w:szCs w:val="24"/>
          <w:lang w:eastAsia="pt-BR"/>
        </w:rPr>
        <w:t xml:space="preserve">clínica de infecção pelo novo </w:t>
      </w:r>
      <w:proofErr w:type="spellStart"/>
      <w:r>
        <w:rPr>
          <w:rFonts w:eastAsia="Times New Roman" w:cs="Calibri"/>
          <w:b/>
          <w:i/>
          <w:color w:val="333333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b/>
          <w:i/>
          <w:color w:val="333333"/>
          <w:sz w:val="24"/>
          <w:szCs w:val="24"/>
          <w:lang w:eastAsia="pt-BR"/>
        </w:rPr>
        <w:t>, sendo sete confirmados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 xml:space="preserve"> (</w:t>
      </w:r>
      <w:r>
        <w:rPr>
          <w:rFonts w:eastAsia="Times New Roman" w:cs="Calibri"/>
          <w:b/>
          <w:i/>
          <w:color w:val="333333"/>
          <w:sz w:val="24"/>
          <w:szCs w:val="24"/>
          <w:lang w:eastAsia="pt-BR"/>
        </w:rPr>
        <w:t>4 em Feira de Santana e 3 em Salvador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>)</w:t>
      </w:r>
      <w:r>
        <w:rPr>
          <w:rFonts w:eastAsia="Times New Roman" w:cs="Calibri"/>
          <w:color w:val="333333"/>
          <w:sz w:val="24"/>
          <w:szCs w:val="24"/>
          <w:lang w:eastAsia="pt-BR"/>
        </w:rPr>
        <w:t>”, ressaltando que “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>os números são dinâmicos e na medida em que as investigações clínicas e epidemiológicas avançam, os casos são reavaliados, sendo pa</w:t>
      </w:r>
      <w:r>
        <w:rPr>
          <w:rFonts w:eastAsia="Times New Roman" w:cs="Calibri"/>
          <w:i/>
          <w:color w:val="333333"/>
          <w:sz w:val="24"/>
          <w:szCs w:val="24"/>
          <w:lang w:eastAsia="pt-BR"/>
        </w:rPr>
        <w:t>ssíveis de reenquadramento na sua classificação</w:t>
      </w:r>
      <w:r>
        <w:rPr>
          <w:rFonts w:eastAsia="Times New Roman" w:cs="Calibri"/>
          <w:color w:val="333333"/>
          <w:sz w:val="24"/>
          <w:szCs w:val="24"/>
          <w:lang w:eastAsia="pt-BR"/>
        </w:rPr>
        <w:t>” (grifos nossos);</w:t>
      </w:r>
    </w:p>
    <w:p w14:paraId="15D80EDE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pt-BR"/>
        </w:rPr>
        <w:t>CONSIDERANDO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as condutas de distanciamento social  recomendadas através da NOTA TÉCNICA DIVEP/SESAB – </w:t>
      </w:r>
      <w:proofErr w:type="spellStart"/>
      <w:r>
        <w:rPr>
          <w:rFonts w:eastAsia="Times New Roman" w:cs="Calibri"/>
          <w:color w:val="333333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 (COVID -19) Nº03 de 12/03/2020, todas dirigidas às mudanças comportamentais </w:t>
      </w:r>
      <w:r>
        <w:rPr>
          <w:rFonts w:eastAsia="Times New Roman" w:cs="Calibri"/>
          <w:color w:val="333333"/>
          <w:sz w:val="24"/>
          <w:szCs w:val="24"/>
          <w:lang w:eastAsia="pt-BR"/>
        </w:rPr>
        <w:t>que contribuam para dificultar a transmissão do SARS-CoV-2 e consequentemente redução da expansão da COVID-19, sendo sugerido o afastamento de locais com aglomerações de pessoas, fator reconhecidamente de risco para a transmissão de viroses;</w:t>
      </w:r>
    </w:p>
    <w:p w14:paraId="1CBF06A2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bCs/>
          <w:sz w:val="24"/>
          <w:szCs w:val="24"/>
          <w:lang w:eastAsia="pt-BR"/>
        </w:rPr>
        <w:t xml:space="preserve">CONSIDERANDO </w:t>
      </w:r>
      <w:r>
        <w:rPr>
          <w:rFonts w:eastAsia="Times New Roman" w:cs="Calibri"/>
          <w:sz w:val="24"/>
          <w:szCs w:val="24"/>
          <w:lang w:eastAsia="pt-BR"/>
        </w:rPr>
        <w:t>q</w:t>
      </w:r>
      <w:r>
        <w:rPr>
          <w:rFonts w:eastAsia="Times New Roman" w:cs="Calibri"/>
          <w:sz w:val="24"/>
          <w:szCs w:val="24"/>
          <w:lang w:eastAsia="pt-BR"/>
        </w:rPr>
        <w:t xml:space="preserve">ue a transmissão do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em humanos ocorre de pessoa-a-pessoa, podendo ser transmitido principalmente pelas gotículas respiratórias, por tosses e espirros, assim como pelo contato com as mãos contaminadas com secreções respiratórias que contenham ví</w:t>
      </w:r>
      <w:r>
        <w:rPr>
          <w:rFonts w:eastAsia="Times New Roman" w:cs="Calibri"/>
          <w:sz w:val="24"/>
          <w:szCs w:val="24"/>
          <w:lang w:eastAsia="pt-BR"/>
        </w:rPr>
        <w:t>rus, sendo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color w:val="333333"/>
          <w:sz w:val="24"/>
          <w:szCs w:val="24"/>
          <w:lang w:eastAsia="pt-BR"/>
        </w:rPr>
        <w:t xml:space="preserve">as medidas de prevenção, notadamente a de regular higienização de espaços e das mãos, incluindo a disponibilização de álcool gel 70% , constantemente ressaltadas pelas </w:t>
      </w:r>
      <w:r>
        <w:rPr>
          <w:rFonts w:eastAsia="Times New Roman" w:cs="Calibri"/>
          <w:bCs/>
          <w:color w:val="231F20"/>
          <w:sz w:val="24"/>
          <w:szCs w:val="24"/>
          <w:lang w:eastAsia="pt-BR"/>
        </w:rPr>
        <w:t>autoridades sanitárias municipais, estadual e federal,</w:t>
      </w:r>
      <w:r>
        <w:rPr>
          <w:rFonts w:eastAsia="Times New Roman" w:cs="Calibri"/>
          <w:b/>
          <w:bCs/>
          <w:color w:val="231F20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bCs/>
          <w:color w:val="231F20"/>
          <w:sz w:val="24"/>
          <w:szCs w:val="24"/>
          <w:lang w:eastAsia="pt-BR"/>
        </w:rPr>
        <w:t>bem como</w:t>
      </w:r>
      <w:r>
        <w:rPr>
          <w:rFonts w:eastAsia="Times New Roman" w:cs="Calibri"/>
          <w:b/>
          <w:bCs/>
          <w:color w:val="231F20"/>
          <w:sz w:val="24"/>
          <w:szCs w:val="24"/>
          <w:lang w:eastAsia="pt-BR"/>
        </w:rPr>
        <w:t xml:space="preserve"> </w:t>
      </w:r>
      <w:r>
        <w:rPr>
          <w:rFonts w:cs="Calibri"/>
          <w:sz w:val="24"/>
          <w:szCs w:val="24"/>
        </w:rPr>
        <w:t>pela Sociedad</w:t>
      </w:r>
      <w:r>
        <w:rPr>
          <w:rFonts w:cs="Calibri"/>
          <w:sz w:val="24"/>
          <w:szCs w:val="24"/>
        </w:rPr>
        <w:t xml:space="preserve">e Brasileira de Infectologia, como ações eficazes para reduzir a capacidade de contágio do </w:t>
      </w:r>
      <w:proofErr w:type="spellStart"/>
      <w:r>
        <w:rPr>
          <w:rFonts w:cs="Calibri"/>
          <w:sz w:val="24"/>
          <w:szCs w:val="24"/>
        </w:rPr>
        <w:t>coronavírus</w:t>
      </w:r>
      <w:proofErr w:type="spellEnd"/>
      <w:r>
        <w:rPr>
          <w:rFonts w:cs="Calibri"/>
          <w:sz w:val="24"/>
          <w:szCs w:val="24"/>
        </w:rPr>
        <w:t>;</w:t>
      </w:r>
    </w:p>
    <w:p w14:paraId="676E403A" w14:textId="77777777" w:rsidR="004B4EF0" w:rsidRDefault="00435053">
      <w:pPr>
        <w:spacing w:before="280" w:after="142" w:line="360" w:lineRule="auto"/>
        <w:ind w:firstLine="708"/>
        <w:jc w:val="both"/>
      </w:pPr>
      <w:r>
        <w:rPr>
          <w:rFonts w:eastAsia="Times New Roman" w:cs="Calibri"/>
          <w:b/>
          <w:bCs/>
          <w:sz w:val="24"/>
          <w:szCs w:val="24"/>
          <w:lang w:eastAsia="pt-BR"/>
        </w:rPr>
        <w:t>CONSIDERANDO</w:t>
      </w:r>
      <w:r>
        <w:rPr>
          <w:rFonts w:eastAsia="Times New Roman" w:cs="Calibri"/>
          <w:sz w:val="24"/>
          <w:szCs w:val="24"/>
          <w:lang w:eastAsia="pt-BR"/>
        </w:rPr>
        <w:t xml:space="preserve"> que todas as informações técnicas divulgadas pelos órgãos de saúde apontam para a</w:t>
      </w:r>
      <w:r>
        <w:rPr>
          <w:rFonts w:cs="Calibri"/>
          <w:sz w:val="24"/>
          <w:szCs w:val="24"/>
        </w:rPr>
        <w:t xml:space="preserve"> importância da prevenção nos estágios iniciais do contági</w:t>
      </w:r>
      <w:r>
        <w:rPr>
          <w:rFonts w:cs="Calibri"/>
          <w:sz w:val="24"/>
          <w:szCs w:val="24"/>
        </w:rPr>
        <w:t>o, como forma de controlar a velocidade de propagação do vírus, a medida mais efetiva para proteger os cidadãos e para obstar o colapso do sistema de saúde;</w:t>
      </w:r>
    </w:p>
    <w:p w14:paraId="0BA2E6F0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lastRenderedPageBreak/>
        <w:t xml:space="preserve">CONSIDERANDO 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que ao Ministério Público é conferido, pelo artigo 129, III, da Constituição Federal, </w:t>
      </w:r>
      <w:r>
        <w:rPr>
          <w:rFonts w:eastAsia="Times New Roman" w:cs="Calibri"/>
          <w:color w:val="000000"/>
          <w:sz w:val="24"/>
          <w:szCs w:val="24"/>
          <w:lang w:eastAsia="pt-BR"/>
        </w:rPr>
        <w:t>o dever de atuar com o objetivo primaz de acautelar interesses sociais e difusos;</w:t>
      </w:r>
    </w:p>
    <w:p w14:paraId="03822DF4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CONSIDERANDO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, por fim, a NOTA TÉCNICA CONJUNTA Nº 1/2020 – CES/CNMP/1ª CCR, DE 26 DE FEVEREIRO DE 2020, relacionada à atuação dos membros do Ministério Público brasileiro em </w:t>
      </w:r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face da decretação de Emergência de Saúde Pública de Importância Nacional para o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color w:val="000000"/>
          <w:sz w:val="24"/>
          <w:szCs w:val="24"/>
          <w:lang w:eastAsia="pt-BR"/>
        </w:rPr>
        <w:t xml:space="preserve"> (COVID-19),</w:t>
      </w:r>
    </w:p>
    <w:p w14:paraId="342995ED" w14:textId="77777777" w:rsidR="004B4EF0" w:rsidRDefault="00435053">
      <w:pPr>
        <w:spacing w:before="280" w:after="142" w:line="360" w:lineRule="auto"/>
        <w:ind w:firstLine="708"/>
        <w:jc w:val="both"/>
      </w:pPr>
      <w:r>
        <w:rPr>
          <w:rFonts w:eastAsia="Times New Roman" w:cs="Calibri"/>
          <w:b/>
          <w:bCs/>
          <w:color w:val="231F20"/>
          <w:sz w:val="24"/>
          <w:szCs w:val="24"/>
          <w:lang w:eastAsia="pt-BR"/>
        </w:rPr>
        <w:t>RECOMENDA aos dirigentes das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entidades responsáveis pela execução da política de atendimento dos direitos da criança e do adolescente no município de XXXX a adoção das seguintes providências, r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essalvadas outras medidas urgentes e necessárias ao cumprimento das determinações das autor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idades sanitárias acerca de medidas básicas de saúde e higiene preventivas a propagação da COVID 19:</w:t>
      </w:r>
    </w:p>
    <w:p w14:paraId="3A6965FC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>1 – DE RELAÇÃO ÀS CRIANÇAS, AOS ADOLESCENTES E AOS FUNCIONÁRIOS:</w:t>
      </w:r>
    </w:p>
    <w:p w14:paraId="787A59EC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>1.1 Que orientem seus acolhidos, usuários e funcionários acerca de medidas básicas de saúd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e e higiene como:</w:t>
      </w:r>
    </w:p>
    <w:p w14:paraId="08D8A9B9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a) lavar frequentemente as mãos por pelo menos 20 segundos, especialmente após contato direto com pessoas doentes ou com o meio ambiente e antes de se alimentar;</w:t>
      </w:r>
    </w:p>
    <w:p w14:paraId="7AF3E2C3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b) Se não tiver água e sabão, use álcool em gel 70%, caso as mãos não tenh</w:t>
      </w:r>
      <w:r>
        <w:rPr>
          <w:rFonts w:eastAsia="Times New Roman" w:cs="Times New Roman"/>
          <w:sz w:val="24"/>
          <w:szCs w:val="24"/>
          <w:lang w:eastAsia="pt-BR"/>
        </w:rPr>
        <w:t xml:space="preserve">am sujeira visível; </w:t>
      </w:r>
    </w:p>
    <w:p w14:paraId="794F5AC2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c) usar lenço descartável para higiene nasal; </w:t>
      </w:r>
    </w:p>
    <w:p w14:paraId="7459B17F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d) cobrir nariz e boca ao espirrar ou tossir; </w:t>
      </w:r>
    </w:p>
    <w:p w14:paraId="2FFB3A11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e) evitar tocar nas mucosas dos olhos; </w:t>
      </w:r>
    </w:p>
    <w:p w14:paraId="53EF6B6D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f) higienizar as mãos após tossir ou espirrar; </w:t>
      </w:r>
    </w:p>
    <w:p w14:paraId="22F918DB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lastRenderedPageBreak/>
        <w:t xml:space="preserve"> g) não compartilhar objetos de uso pessoal como </w:t>
      </w:r>
      <w:r>
        <w:rPr>
          <w:rFonts w:eastAsia="Times New Roman" w:cs="Times New Roman"/>
          <w:sz w:val="24"/>
          <w:szCs w:val="24"/>
          <w:lang w:eastAsia="pt-BR"/>
        </w:rPr>
        <w:t xml:space="preserve">talheres, pratos, copos ou garrafas, canudos, toalhas, talheres, alimentos, maquiagem e protetores labiais, canetas, lapiseiras, borrachas, brinquedos,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 xml:space="preserve">celulares, </w:t>
      </w:r>
      <w:proofErr w:type="spellStart"/>
      <w:r>
        <w:rPr>
          <w:rFonts w:eastAsia="Times New Roman" w:cs="Times New Roman"/>
          <w:sz w:val="24"/>
          <w:szCs w:val="24"/>
          <w:lang w:eastAsia="pt-BR"/>
        </w:rPr>
        <w:t>etc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; </w:t>
      </w:r>
    </w:p>
    <w:p w14:paraId="493B3E62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>h)   Não colocar os lábios n</w:t>
      </w:r>
      <w:r>
        <w:rPr>
          <w:rFonts w:eastAsia="Times New Roman" w:cs="Times New Roman"/>
          <w:sz w:val="24"/>
          <w:szCs w:val="24"/>
          <w:lang w:eastAsia="pt-BR"/>
        </w:rPr>
        <w:t xml:space="preserve">o bico ejetor de água dos bebedouros; </w:t>
      </w:r>
    </w:p>
    <w:p w14:paraId="00D5119E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1.2 Que seja 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imediatamente encaminhado par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 atendimento médico o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 acolhido ou funcionário com sintomas agravadas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de coriza, tosse, dor de garganta, febre e dificuldade respiratória, devem ser respeitadas as orientações do profissional de saúde, notadamente quanto à nece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ssidade de isolamento da criança ou adolescente acolhido em ambiente apropriado, em condições de segurança para si e para os demais usuários do serviço, comunicando, de imediato,  à família e a autoridade judiciária; </w:t>
      </w:r>
    </w:p>
    <w:p w14:paraId="09118FFA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>1.3 Que os diagnósticos de acolhidos p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ortadores de moléstias infectocontagiosas sejam imediatamente comunicados às autoridades competentes;</w:t>
      </w:r>
    </w:p>
    <w:p w14:paraId="01CD186E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 xml:space="preserve"> 2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 xml:space="preserve">-  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>DE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 RELAÇÃO AO AMBIENTE:</w:t>
      </w:r>
    </w:p>
    <w:p w14:paraId="342EF231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>a)</w:t>
      </w: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Intensifiquem a higienização dos ambientes de uso comum, incluindo maçanetas, torneiras, portas, papel toalha, assim como </w:t>
      </w:r>
      <w:r>
        <w:rPr>
          <w:rFonts w:eastAsia="Times New Roman" w:cs="Times New Roman"/>
          <w:sz w:val="24"/>
          <w:szCs w:val="24"/>
          <w:lang w:eastAsia="pt-BR"/>
        </w:rPr>
        <w:t xml:space="preserve">brinquedos, computadores, objetos de uso coletivo; </w:t>
      </w:r>
    </w:p>
    <w:p w14:paraId="080E02CF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b) Realizem a desinfecção das mesas e cadeiras, friccionando com pano seco e limpo embebido com álcool 70% por 20 segundos, ao final do período e/ou a cada troca de turmas;</w:t>
      </w:r>
    </w:p>
    <w:p w14:paraId="1C8E6621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c) Intensifiquem cuidados com o</w:t>
      </w:r>
      <w:r>
        <w:rPr>
          <w:rFonts w:eastAsia="Times New Roman" w:cs="Times New Roman"/>
          <w:sz w:val="24"/>
          <w:szCs w:val="24"/>
          <w:lang w:eastAsia="pt-BR"/>
        </w:rPr>
        <w:t xml:space="preserve"> uso do álcool, especialmente em ambientes com acesso de crianças e adolescentes, pelo risco de ingestão acidental e de queimaduras devido à característica inflamável do produto. Este produto exige todo o cuidado;</w:t>
      </w:r>
    </w:p>
    <w:p w14:paraId="1DF0AE2F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d) Reorientem a equipe de apoio para a </w:t>
      </w:r>
      <w:r>
        <w:rPr>
          <w:rFonts w:eastAsia="Times New Roman" w:cs="Times New Roman"/>
          <w:sz w:val="24"/>
          <w:szCs w:val="24"/>
          <w:lang w:eastAsia="pt-BR"/>
        </w:rPr>
        <w:t>intensificação da limpeza dos diferentes materiais e brinquedos utilizados e de uso comum na entidade;</w:t>
      </w:r>
    </w:p>
    <w:p w14:paraId="35570705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lastRenderedPageBreak/>
        <w:t>e) Efetivem limpeza dos equipamentos de ventilação e/ou ar condicionado: Mantendo limpos os componentes do sistema de climatização (bandejas, serpentinas</w:t>
      </w:r>
      <w:r>
        <w:rPr>
          <w:rFonts w:eastAsia="Times New Roman" w:cs="Times New Roman"/>
          <w:sz w:val="24"/>
          <w:szCs w:val="24"/>
          <w:lang w:eastAsia="pt-BR"/>
        </w:rPr>
        <w:t xml:space="preserve">, umidificadores, ventiladores e dutos) de forma a evitar a difusão ou multiplicação de agentes nocivos à saúde humana e manter a qualidade interna do ar  </w:t>
      </w:r>
    </w:p>
    <w:p w14:paraId="66B52703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 xml:space="preserve">f) </w:t>
      </w:r>
      <w:r>
        <w:rPr>
          <w:rFonts w:eastAsia="Times New Roman" w:cs="Times New Roman"/>
          <w:sz w:val="24"/>
          <w:szCs w:val="24"/>
          <w:lang w:eastAsia="pt-BR"/>
        </w:rPr>
        <w:t>Cumpram, nas hipóteses de unidades de possuam escolas na sua estrutura física (artigo 1</w:t>
      </w:r>
      <w:r>
        <w:rPr>
          <w:rFonts w:eastAsia="Times New Roman" w:cs="Times New Roman"/>
          <w:position w:val="24"/>
          <w:sz w:val="24"/>
          <w:szCs w:val="24"/>
          <w:lang w:eastAsia="pt-BR"/>
        </w:rPr>
        <w:t>o</w:t>
      </w:r>
      <w:r>
        <w:rPr>
          <w:rFonts w:eastAsia="Times New Roman" w:cs="Times New Roman"/>
          <w:sz w:val="24"/>
          <w:szCs w:val="24"/>
          <w:lang w:eastAsia="pt-BR"/>
        </w:rPr>
        <w:t xml:space="preserve"> § 1º IX)</w:t>
      </w:r>
      <w:r>
        <w:rPr>
          <w:rFonts w:eastAsia="Times New Roman" w:cs="Times New Roman"/>
          <w:sz w:val="24"/>
          <w:szCs w:val="24"/>
          <w:lang w:eastAsia="pt-BR"/>
        </w:rPr>
        <w:t>, o quanto disposto na Lei Estadual 13.706 de 27 de janeiro de 2017, que dispõe sobre a obrigatoriedade de colocação e disponibilização de equipamentos com álcool em gel por parte de estabelecimentos comerciais em todo território do Estado da Bahia, obedec</w:t>
      </w:r>
      <w:r>
        <w:rPr>
          <w:rFonts w:eastAsia="Times New Roman" w:cs="Times New Roman"/>
          <w:sz w:val="24"/>
          <w:szCs w:val="24"/>
          <w:lang w:eastAsia="pt-BR"/>
        </w:rPr>
        <w:t>endo-se ainda ás seguintes determinações:</w:t>
      </w:r>
    </w:p>
    <w:p w14:paraId="4EA69EA1" w14:textId="77777777" w:rsidR="004B4EF0" w:rsidRDefault="00435053">
      <w:pPr>
        <w:pStyle w:val="LO-Normal"/>
        <w:spacing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>- A quantidade de equipamentos de álcool em gel a serem disponibilizados levará em conta a área do estabelecimento, na seguinte proporção:</w:t>
      </w:r>
    </w:p>
    <w:p w14:paraId="6920644C" w14:textId="77777777" w:rsidR="004B4EF0" w:rsidRDefault="00435053">
      <w:pPr>
        <w:pStyle w:val="LO-Normal"/>
        <w:spacing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 xml:space="preserve">I 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até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70m² (setenta metros quadrados) - 01 (um) equipamento;</w:t>
      </w:r>
    </w:p>
    <w:p w14:paraId="1AB4A156" w14:textId="77777777" w:rsidR="004B4EF0" w:rsidRDefault="00435053">
      <w:pPr>
        <w:pStyle w:val="LO-Normal"/>
        <w:spacing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 xml:space="preserve">II - 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de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 71 a</w:t>
      </w:r>
      <w:r>
        <w:rPr>
          <w:rFonts w:eastAsia="Times New Roman" w:cs="Times New Roman"/>
          <w:sz w:val="24"/>
          <w:szCs w:val="24"/>
          <w:lang w:eastAsia="pt-BR"/>
        </w:rPr>
        <w:t xml:space="preserve"> 150m² (setenta e um a cento e cinquenta metros quadrados) - 02 (dois) equipamentos;</w:t>
      </w:r>
    </w:p>
    <w:p w14:paraId="1E9E1F09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 xml:space="preserve">III - acima de 150m² (cento e cinquenta metros quadrados) - a quantidade prevista no inciso II do § 2º deste artigo e mais 01 (um) equipamento a cada 70m² (setenta metros </w:t>
      </w:r>
      <w:r>
        <w:rPr>
          <w:rFonts w:eastAsia="Times New Roman" w:cs="Times New Roman"/>
          <w:sz w:val="24"/>
          <w:szCs w:val="24"/>
          <w:lang w:eastAsia="pt-BR"/>
        </w:rPr>
        <w:t>quadrados) de área.</w:t>
      </w:r>
    </w:p>
    <w:p w14:paraId="331957FD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- Os estabelecimentos descritos na presente Lei ficam obrigados a fixar em locais de fácil acesso e visualização o equipamento de álcool em gel, inclusive com placa contendo aviso.</w:t>
      </w:r>
    </w:p>
    <w:p w14:paraId="6E5155D5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sz w:val="24"/>
          <w:szCs w:val="24"/>
          <w:lang w:eastAsia="pt-BR"/>
        </w:rPr>
        <w:t xml:space="preserve">3 - DE RELAÇÃO AOS BEBEDOUROS: </w:t>
      </w:r>
    </w:p>
    <w:p w14:paraId="4156ACD0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a) Realizem desinfecção</w:t>
      </w:r>
      <w:r>
        <w:rPr>
          <w:rFonts w:eastAsia="Times New Roman" w:cs="Times New Roman"/>
          <w:sz w:val="24"/>
          <w:szCs w:val="24"/>
          <w:lang w:eastAsia="pt-BR"/>
        </w:rPr>
        <w:t xml:space="preserve"> do equipamento com álcool 70%, frequentemente; preferencialmente disponibilizar copos descartáveis junto ao bebedouro ou forneçam para as crianças e adolescentes copo/garrafa plástica para uso individual;</w:t>
      </w:r>
    </w:p>
    <w:p w14:paraId="353078B6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lastRenderedPageBreak/>
        <w:t>b) Quando existirem dois bicos ejetores de água no</w:t>
      </w:r>
      <w:r>
        <w:rPr>
          <w:rFonts w:eastAsia="Times New Roman" w:cs="Times New Roman"/>
          <w:sz w:val="24"/>
          <w:szCs w:val="24"/>
          <w:lang w:eastAsia="pt-BR"/>
        </w:rPr>
        <w:t xml:space="preserve"> bebedouro, recomen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da-se inviabilizar o uso do bico ejetor pequeno, deixando em uso apenas o grande curvo e orientações de uso fixadas na parede, na frente do bebedouro; </w:t>
      </w:r>
    </w:p>
    <w:p w14:paraId="1F93AD18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4 - DE RELAÇÃO AOS PARENTES OU PADRINHOS DOS ACOLHIDOS:</w:t>
      </w:r>
    </w:p>
    <w:p w14:paraId="7F64366D" w14:textId="77777777" w:rsidR="004B4EF0" w:rsidRDefault="004B4EF0">
      <w:pPr>
        <w:pStyle w:val="LO-Normal"/>
        <w:spacing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4288E317" w14:textId="77777777" w:rsidR="004B4EF0" w:rsidRDefault="00435053">
      <w:pPr>
        <w:pStyle w:val="LO-Normal"/>
        <w:spacing w:line="360" w:lineRule="auto"/>
        <w:ind w:left="720"/>
        <w:jc w:val="both"/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a)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T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endo em vista a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gravidade da disseminação da doença CONVID-19, seja comunicado aos pais ou responsáveis pelos acolhidos a eventual necessidade de mudança na forma e quantitativo das visitas respectivas, ficando cada unidade mencionada com a incumbência de analisar e decid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ir, observadas suas características e público-alvo, quais modificações deverão ser implementadas para a garantia da dignidade dos educandos bem como a saúde física e mental deles;</w:t>
      </w:r>
    </w:p>
    <w:p w14:paraId="187CCDFD" w14:textId="77777777" w:rsidR="004B4EF0" w:rsidRDefault="004B4EF0">
      <w:pPr>
        <w:pStyle w:val="LO-Normal"/>
        <w:spacing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06F71437" w14:textId="77777777" w:rsidR="004B4EF0" w:rsidRDefault="00435053">
      <w:pPr>
        <w:pStyle w:val="LO-Normal"/>
        <w:spacing w:line="360" w:lineRule="auto"/>
        <w:ind w:left="720"/>
        <w:jc w:val="both"/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b) Caso ocorra alguma modificação, deverão ser elas encaminhadas a esta Pro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motoria de Justiça, bem como para a Vara da Infância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pt-BR"/>
        </w:rPr>
        <w:t>e  Juventude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; </w:t>
      </w:r>
    </w:p>
    <w:p w14:paraId="4FCF4963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c) Que orientem aos pais, demais parentes e padrinhos dos acolhidos para:</w:t>
      </w:r>
    </w:p>
    <w:p w14:paraId="5E3F38C6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c.1) não realizarem visitas nas entidades de atendimento no caso de apresentarem sintomas de viroses, ainda que pe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ndente diagnóstico para COVID-19, respeitando o ambiente coletivo de acolhimento de crianças e adolescentes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;</w:t>
      </w:r>
    </w:p>
    <w:p w14:paraId="3A71EDA7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c.2) comunicarem, de imediato, à direção da entidade caso tenham regressado, sozinho e/ou em companhia da criança/adolescente acolhido, de viagem i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nternacional ou de viagem nacional a áreas com transmissão comunitária de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t-BR"/>
        </w:rPr>
        <w:t>;</w:t>
      </w:r>
    </w:p>
    <w:p w14:paraId="3FB704D2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d) Na hipótese de resistência dos pais, parentes e/ou padrinhos ao cumprimento das medidas de cuidado e prevenção indicadas anteriormente, e, em sendo identificado pela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equipe da entidade situação de risco decorrente da permanência da visita, que o fato seja imediatamente comunicada ao juiz de direito, solicitando-se a imposição judicial de restrição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de visita, em atenção ao disposto no art.92, §4º, do Estatuto da Criança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 xml:space="preserve"> e do Adolescente;</w:t>
      </w:r>
    </w:p>
    <w:p w14:paraId="6B40CE5E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5 - DE RELAÇÃO AO CONVÍVIO SOCIAL E AGLOMERAÇÕES:</w:t>
      </w:r>
    </w:p>
    <w:p w14:paraId="3039E370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a) Que as entidades se abstenham de realizar ou promover atividades que resultem na aglomeração dos acolhidos, familiares e/ou pessoas da comunidade nas unidades de atendimento como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festas, mostras de arte, teatro, passeios e outros, com o fim de resguardar a saúde coletiva.</w:t>
      </w:r>
    </w:p>
    <w:p w14:paraId="37D6F9C2" w14:textId="77777777" w:rsidR="004B4EF0" w:rsidRDefault="00435053">
      <w:pPr>
        <w:spacing w:before="280" w:after="0" w:line="360" w:lineRule="auto"/>
        <w:ind w:left="720"/>
        <w:jc w:val="both"/>
      </w:pPr>
      <w:r>
        <w:rPr>
          <w:rFonts w:eastAsia="Times New Roman" w:cs="Times New Roman"/>
          <w:sz w:val="24"/>
          <w:szCs w:val="24"/>
          <w:lang w:eastAsia="pt-BR"/>
        </w:rPr>
        <w:t>b) Que, q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uando necessário, seja feito um escalonamento dos horários de refeições, diminuindo-se ao máximo a aglomeração de acolhidos nos refeitórios, sem prejuízo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outras iniciativas consideradas pertinentes;</w:t>
      </w:r>
    </w:p>
    <w:p w14:paraId="4D38588C" w14:textId="77777777" w:rsidR="004B4EF0" w:rsidRDefault="00435053">
      <w:pPr>
        <w:spacing w:before="280" w:after="0" w:line="36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c) Que a eventual adoção de medidas gerais de restrição de visitas e saídas na entidade, com finalidade de resguardar a saúde pública, seja devidamente fundamentada em face a situações individualizadas de se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u público e eventuais notícias de contaminação, e ainda com lastro nas orientações das autoridades sanitárias competentes, devendo a decisão ser imediatamente comunicada à autoridade judicial, em respeito aos princípios norteadores das entidades de a, nota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damente de preservação de vínculos familiares e de participação na vida da comunidade local (art.92, incisos I, VII, IX, ECA).  </w:t>
      </w:r>
    </w:p>
    <w:p w14:paraId="05A9E13C" w14:textId="77777777" w:rsidR="004B4EF0" w:rsidRDefault="00435053">
      <w:pPr>
        <w:spacing w:before="280" w:after="0" w:line="360" w:lineRule="auto"/>
        <w:ind w:firstLine="708"/>
        <w:jc w:val="both"/>
      </w:pPr>
      <w:r>
        <w:rPr>
          <w:rFonts w:eastAsia="Times New Roman" w:cs="Calibri"/>
          <w:bCs/>
          <w:color w:val="000000"/>
          <w:sz w:val="24"/>
          <w:szCs w:val="24"/>
          <w:lang w:eastAsia="pt-BR"/>
        </w:rPr>
        <w:t>Expeça-se notificação à Direção da FUNDAC e aos dirigentes das entidades de acolhimento institucional ou familiar XXXX, do CRAS</w:t>
      </w:r>
      <w:r>
        <w:rPr>
          <w:rFonts w:eastAsia="Times New Roman" w:cs="Calibri"/>
          <w:bCs/>
          <w:color w:val="000000"/>
          <w:sz w:val="24"/>
          <w:szCs w:val="24"/>
          <w:lang w:eastAsia="pt-BR"/>
        </w:rPr>
        <w:t xml:space="preserve"> e do CREAS, devendo os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destinatários da presente RECOMENDAÇÃO comunicar à Promotoria de Justiça, </w:t>
      </w:r>
      <w:r>
        <w:rPr>
          <w:rFonts w:eastAsia="Times New Roman" w:cs="Calibri"/>
          <w:b/>
          <w:bCs/>
          <w:color w:val="231F20"/>
          <w:sz w:val="24"/>
          <w:szCs w:val="24"/>
          <w:lang w:eastAsia="pt-BR"/>
        </w:rPr>
        <w:t xml:space="preserve">no prazo de 48 (quarenta e oito) horas - exiguidade que se justifica pela urgência decorrente da crescente disseminação do </w:t>
      </w:r>
      <w:proofErr w:type="spellStart"/>
      <w:r>
        <w:rPr>
          <w:rFonts w:eastAsia="Times New Roman" w:cs="Calibri"/>
          <w:b/>
          <w:bCs/>
          <w:color w:val="231F20"/>
          <w:sz w:val="24"/>
          <w:szCs w:val="24"/>
          <w:lang w:eastAsia="pt-BR"/>
        </w:rPr>
        <w:t>coronavírus</w:t>
      </w:r>
      <w:proofErr w:type="spellEnd"/>
      <w:r>
        <w:rPr>
          <w:rFonts w:eastAsia="Times New Roman" w:cs="Calibri"/>
          <w:b/>
          <w:bCs/>
          <w:color w:val="231F20"/>
          <w:sz w:val="24"/>
          <w:szCs w:val="24"/>
          <w:lang w:eastAsia="pt-BR"/>
        </w:rPr>
        <w:t xml:space="preserve"> -, as medidas adotadas para cumprimento das ações recomendadas, juntamente com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documentos hábeis a comprovar a adoção de </w:t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providências, </w:t>
      </w:r>
      <w:r>
        <w:rPr>
          <w:rFonts w:eastAsia="Times New Roman" w:cs="Calibri"/>
          <w:b/>
          <w:color w:val="000000"/>
          <w:sz w:val="24"/>
          <w:szCs w:val="24"/>
          <w:lang w:eastAsia="pt-BR"/>
        </w:rPr>
        <w:t>a fim de instruir o procedimento instaurado no âmbito da Promotoria de Justiça.</w:t>
      </w:r>
    </w:p>
    <w:p w14:paraId="61325D43" w14:textId="77777777" w:rsidR="004B4EF0" w:rsidRDefault="00435053">
      <w:pPr>
        <w:spacing w:before="280" w:after="0" w:line="360" w:lineRule="auto"/>
        <w:ind w:firstLine="360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lastRenderedPageBreak/>
        <w:t>Dê-se ciência da presente recomendação também à Secretaria Municipal de Promoção Social, ao Juiz da Vara da Infância e da Juventude, ao Conselho Tutelar e ao Cent</w:t>
      </w:r>
      <w:r>
        <w:rPr>
          <w:rFonts w:eastAsia="Times New Roman" w:cs="Calibri"/>
          <w:color w:val="000000"/>
          <w:sz w:val="24"/>
          <w:szCs w:val="24"/>
          <w:lang w:eastAsia="pt-BR"/>
        </w:rPr>
        <w:t>ro de Apoio Operacional da Infância e da Juventude, para ciência.</w:t>
      </w:r>
    </w:p>
    <w:p w14:paraId="6430C275" w14:textId="77777777" w:rsidR="004B4EF0" w:rsidRDefault="00435053">
      <w:pPr>
        <w:spacing w:before="280"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>
        <w:rPr>
          <w:rFonts w:eastAsia="Times New Roman" w:cs="Calibri"/>
          <w:color w:val="000000"/>
          <w:sz w:val="24"/>
          <w:szCs w:val="24"/>
          <w:lang w:eastAsia="pt-BR"/>
        </w:rPr>
        <w:tab/>
        <w:t>Cumpra-se.</w:t>
      </w:r>
    </w:p>
    <w:p w14:paraId="3DA0EAA8" w14:textId="77777777" w:rsidR="004B4EF0" w:rsidRDefault="00435053">
      <w:pPr>
        <w:spacing w:before="280" w:after="0" w:line="36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pt-BR"/>
        </w:rPr>
        <w:tab/>
        <w:t>Município/BA, XX de março de 2020.</w:t>
      </w:r>
    </w:p>
    <w:p w14:paraId="6156F4F0" w14:textId="77777777" w:rsidR="004B4EF0" w:rsidRDefault="00435053">
      <w:pPr>
        <w:spacing w:before="280" w:after="0" w:line="36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pt-BR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PROMOTOR DE JUSTIÇA</w:t>
      </w:r>
    </w:p>
    <w:p w14:paraId="5FFF8715" w14:textId="77777777" w:rsidR="004B4EF0" w:rsidRDefault="00435053">
      <w:pPr>
        <w:spacing w:before="280" w:after="0" w:line="360" w:lineRule="auto"/>
        <w:ind w:firstLine="1786"/>
        <w:jc w:val="both"/>
      </w:pPr>
      <w:r>
        <w:br/>
      </w:r>
    </w:p>
    <w:sectPr w:rsidR="004B4EF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F0"/>
    <w:rsid w:val="00435053"/>
    <w:rsid w:val="004B4EF0"/>
    <w:rsid w:val="006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4A06"/>
  <w15:docId w15:val="{72818B55-9C41-435E-B17F-A21EC70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%3A%2F%2Fwww.saude.ba.gov.br%2F2020%2F03%2F13%2Fboletim-novo-coronavirus-13-03-2020%2F&amp;data=01|01|marciarabelo@mpba.mp.br|af737001d5ff4404824508d7c8318241|7df112d6178e4548ad2488e1dabe3852|0&amp;sdata=BlAMYKY8QEelf%2BkhyBIEn67vVAKcfyaHm1BOhi3VLb4%3D&amp;reserved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2548</Words>
  <Characters>13765</Characters>
  <Application>Microsoft Office Word</Application>
  <DocSecurity>0</DocSecurity>
  <Lines>114</Lines>
  <Paragraphs>32</Paragraphs>
  <ScaleCrop>false</ScaleCrop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Marcelo Oliveira</cp:lastModifiedBy>
  <cp:revision>2</cp:revision>
  <cp:lastPrinted>2020-03-16T17:48:00Z</cp:lastPrinted>
  <dcterms:created xsi:type="dcterms:W3CDTF">2020-04-17T14:29:00Z</dcterms:created>
  <dcterms:modified xsi:type="dcterms:W3CDTF">2020-04-17T14:29:00Z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